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noviembre de 2018, tuvo entrada en el registro general de este Tribunal Constitucional un escrito de la letrada de la Junta de Extremadura, en la representación que legalmente ostenta, por el que interpuso recurso de amparo contra los siguientes actos de los poderes públicos: (i) el auto de la Sala de lo Contencioso-Administrativo del Tribunal Superior de Justicia de Extremadura, de 10 de septiembre de 2018, que inadmitió el recurso de casación por infracción de normativa autonómica promovido contra la sentencia del Juzgado de lo Contencioso-Administrativo núm. 1 de Mérida de 2 de marzo de 2018, y (ii) la providencia dictada por la misma sala el 11 de octubre de 2018, inadmitiendo el incidente de nulidad de actuaciones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 de marzo de 2018, el Juzgado de lo Contencioso-Administrativo núm. 1 de Mérida dictó sentencia en el procedimiento abreviado núm. 155-2017, con la siguiente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debo estimar y estimo íntegramente el recurso contencioso-administrativo presentado por doña María Paz Mateos AyúcaR, contra la resolución de fecha 14 de febrero de 2017, de la Dirección Gerencia del SES, desestimatoria del recurso de alzada formulado contra la resolución del Gerente de Área [,] desestimatoria de la reclamación de abono del complemento de Comunidad Autónoma, establecido como retribución complementaria para el personal estatutario sanitario del grupo A1, declarando pues la anulabilidad de la mencionada resolución por considerarla contraria a Derecho y declarando y reconociendo, en consecuencia, el derecho de la demandante a percibir, con efectos de 1 de septiembre de 2012, el complemento salarial, componente del específico, denominado de Comunidad Autónoma, en las cuantías aprobadas para cada periodo, más los intereses legalmente aplicables sobre cada una de las mensualidades adeudadas hasta completo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sin que proceda especial pronunciamiento en materia de costas devengadas en este procedimiento, debiendo cada parte satisfacer las causadas a su instancia y las comunes por mitad.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Líbrese testimonio de la presente que quedará unido a los autos de su razón, recogiéndose el original en el libro de sentencias de este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Notifíquese la presente a las partes, haciéndoles saber que contra la misma no cabe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dicha sentencia, la demandada Junta de Extremadura presentó escrito de preparación de recurso de casación por infracción de normativa autonómica. La Sala de lo Contencioso-Administrativo del Tribunal Superior de Justicia de Extremadura dictó un auto el 10 de septiembre de 2018 (procedimiento recurso de casación autonómica 5-2018), con la siguiente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acuerda: 1. Inadmitir el recurso de casación por infracción de normativa autonómica preparado por la Junta de Extremadura contra la sentencia del Juzgado de lo Contencioso-Administrativo número 1 de Mérida de fecha 2 de marzo de 2018.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presente resolución no cabe recurso (artículo 90.5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de Derecho primero, tras la cita de los arts. 86.1 de la Ley reguladora de la jurisdicción contencioso-administrativa tras su reforma por Ley Orgánica 7/2015, de 21 de julio, y del art. 74 de la Ley Orgánica del Poder Judicial, la Sala razonó como sustento de su decisión, que “ni la LOPJ ni la LJCA contienen norma que atribuya competencia a las Salas de lo Contencioso-Administrativo de los Tribunales Superiores de Justicia para enjuiciar recursos de casación por infracción de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Señaló asimismo que el art. 86.3, párrafo segundo LJCA, referido a esta última modalidad de recurso de casación, “por un lado, no menciona como susceptibles de ser recurridas en casación las sentencias de los Juzgados de lo Contencioso-Administrativo. Por otro lado, el precepto ha sido redactado por la disposición final tercera de la Ley Orgánica 7/2015, de 21 de julio […], que no tiene rango de ley orgánica sino de ley ordinaria […]. La atribución competencial de un recurso de casación por infracción de norma autonómica debe regularse en norma con rango de ley orgánica y no en una ley ordinaria, conforme al artículo 122.1 CE. La reserva de ley orgánica debe comprender, como mínimo, además de la institución de los diferentes órdenes jurisdiccionales, la configuración definitiva de los Tribunales de Justicia y la definición genérica de su ámbito de conocimiento litigioso”. Y, en tercer lugar, porque “salvo la mención contenida en el artículo 86.3 LJCA, no existe otro precepto que se ocupe de la tramitación del recurso de casación por infracción autonómica”, pues el que aparece en dicha ley se refiere únicamente al que se puede interponer ante la Sala Tercera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 por tanto a su parecer la causa de inadmisión del art. 90.4 a) LJCA, al no ser recurrible la sentencia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Promovido incidente de nulidad de actuaciones contra el auto mencionado, la misma Sala de lo Contencioso-Administrativo dictó providencia el 11 de octubre de 2018, acordando que “procede inadmitir” dicho incidente, reiterando los argumentos ya ofrecidos en el auto impugnado, sin que quepa “reabrir el debate procesal resuelto en la fundamentación expuesta en el auto […], sin que exista la vulneración del derecho fundamental invocado”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dos resoluciones impugnadas vulneran, en primer lugar, el derecho a la tutela judicial efectiva (art. 24.1 CE) de la administración aquí recurrente desde una triple perspectiva: (i) “al negarse a esta parte el derecho a entablar el recurso de casación” interpuesto; (ii) por no haberse sometido dicha decisión a la ley (con cita conjunta del art. 117.1 CE); y (iii) por lesión del mismo derecho al recurso en relación con el principio de seguridad jurídica del art. 9.1 CE, al exigirse un requisito no previsto en la ley para su admisión. En segundo lugar, alegó la conculcación del derecho a la igualdad en aplicación de la ley (art. 14 CE, que puso en relación con el art. 24.1 CE), con resultado, añade, de indefensión, “al no entrar a valorarlo [su recurso] en comparación con las soluciones contempladas en otras comunidades autónomas, que han puesto soluciones a la falta de regulación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la providencia que inadmitió el incidente de nulidad de actuaciones, entiende la demanda que la Sala se ha excedido del ámbito de decisión que le era propio, decidiendo sin tener en cuenta la finalidad de la reforma del art. 241 LOPJ por la Ley Orgánica 6/2007 y la propia doctrina de este Tribunal Constitucional (con cita de la STC 153/2012, de 16 de julio) acerca de la función que cumple el incidente de nulidad, para la defensa de los derechos fundamentales y la subsidiariedad del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del auto que negó la preparación del recurso de casación por infracción de normativa autonómica, se aduce que la falta de una normativa completa obliga a aplicar por analogía las disposiciones del recurso de casación ante el Tribunal Supremo, siendo que la falta de reglas para su tramitación no ha impedido a otras salas de lo contencioso-administrativo de los tribunales superiores de Justicia, aceptar su procedencia. Añade que el silencio del art. 74 de la Ley Orgánica del Poder Judicial (LOPJ) no puede ser un obstáculo para su reconocimiento, y defiende que “la creación del recurso por ley ordinaria no parecer comportar violación de la reserva de ley orgánica” del art. 122 CE. Alega finalmente que debe hacerse un esfuerzo de integración normativa, y que el presente recurso es diferente del resuelto por ATC 41/2018, de 16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suplico de la demanda se solicitó la admisión del recurso, y que este Tribunal dictase sentencia otorgando el amparo por vulneración del derecho a la tutela judicial efectiva (art. 24.1 CE), con nulidad de las dos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otrosí digo, se manifestó lo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previendo el art. 56.2 de la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suplico al Tribunal Constitucional: Acuerde la medida cautelar que interesamos, suspendiendo la ejecución de la sentencia de Instancia, nº 32 de 2 de Marzo de 2018, donde se estimaba el recurso interpuesto, sobre Reclamación del derecho al abono del Complemento de Comunidad Autónoma a los Médicos de Familia de los EAP (equipos de atención primaria) integrados en los Centros de Drogodependencia (CEDEX)”.</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dictó providencia el 6 de mayo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asunto suscitado trasciende del caso concreto porque plantea una cuestión jurídica de relevante y general repercusión social o económica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 la Sala de lo Contencioso-administrativo del Tribunal Superior de Justicia de Cáceres a fin de que, en plazo que no exceda de diez días, remita certificación o fotocopia adverada de las actuaciones correspondientes al recurso de casación Autonómico núm. 5-018.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Diríjase igualmente atenta comunicación al Juzgado de lo Contencioso-administrativo núm. 1 de Mérida a fin de que, en plazo que no exceda de diez días, remita certificación o fotocopia adverada de las actuaciones correspondientes al procedimiento abreviado núm. 155-2017;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6 de mayo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10 de mayo de 2019, la letrada de la Junta de Extremadura presentó sus alegaciones interesando que este Tribunal acuerde la medida cautelar solicitada, “suspendiendo la ejecución de la sentencia de instancia, núm. 32 de 2 de marzo de 2018, del Juzgado de lo Contencioso-Administrativo núm. 1 de Mérida […], así como el auto núm. 5 de 10 de septiembre de 2018, de la Sala de lo Contencioso-Administrativo de TSJEX, donde se acuerda inadmitir el recurso de casación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el escrito de alegaciones recuerda en primer término que contra la sentencia de instancia se presentó escrito de preparación de recurso de casación por infracción de normativa autonómica ex art. 86.1 LJCA, entendiendo que se trataba de una resolución recurrible al sentar doctrina gravemente dañosa para los intereses generales y ser susceptible de extensión de efectos. Se enumeran las infracciones a la normativa autonómica de aplicación que se entienden cometidas por dicha sentencia, y su contradicción con otras sentencias dictadas por el Juzgado de lo Contencioso-Administrativo núm. 2 de Mérida —con indicación de los números de dichas resoluciones—, tras lo cual aborda propiamente las alegaciones concernientes a esta pieza incidental, como segunda y tercera de su escrito,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“Segunda.-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Tercera.- De no acordarse la suspensión interesada se consolidaría una situación difícilmente reversible y, de este modo, se malograría también la efectividad del amparo solicitado, a efecto de desigualdad de realizar un pago de un complemento, que otros individuos en iguales condiciones no se están beneficiando del mismo. Y de esta forma no se cierre la vía esta Administración de conocer un recurso establecido legalmente y por parte del Tribunal Superior de Justicia de Extremadura, se admita el recurso de casación planteado y pueda resolver sobre las infracciones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aplicación ATC 117/2015 se refiere al requisito del carácter no reparable del perjuicio, asentando que ‘es doctrina reiterada y unánime de este Tribunal, que la previsión contenida ahora en el art. 56.2 LOTC (en la redacción anterior a la reforma de la Ley Orgánica 6/2007 la establecía el art. 56.1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esta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122/2012, de 18 de junio, entre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no otorgamiento de la suspensión ocasionaría a esta Administración un perjuicio irreparable que haría perder al amparo su finalidad, (entre otros, ATC 185/2014, de 8 de julio), entendemos procedería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28 de mayo de 2019, donde concluyó que “no procede acceder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exponer los antecedentes de hecho que entendió más destacados, el escrito señala en el apartado “Consideraciones jurídicas”, que “por la Sala Segunda de este Tribunal Constitucional se ha dictado Auto de fecha 20 de mayo de 2019 en el recurso de amparo 5905-2018 denegando la suspensión solicitada en un supuesto prácticamente idéntico al que ahora nos ocupa, por lo que estimamos dicha resolución ahora plenamente aplicable, remitiéndonos, en especial a su FJ 2”. Transcrito parte de ese fundamento, el fiscal añade que, sin perjuicio de lo dicho, da por reproducidas las alegaciones efectuadas en la pieza cautelar de aquel recurso de amparo 5905-2018, las cuales vuelve a verter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alegaciones las resume a su vez el antecedente 3 del ATC de 20 de mayo de 2019, señalando que: “[El Ministerio Fiscal] presentó alegaciones interesando denegar la suspensión solicitada, ya que (i) la parte recurrente lo que está solicitando es la suspensión de efectos de la sentencia recurrida en casación y no la decisión judicial de inadmisión del recurso de casación, que es la impugnada en este recurso de amparo, lo que es determinante para su denegación (ATC 266/2005, de 20 de junio, FJ 1); y (ii) en cualquier caso, la parte recurrente no ha cumplido con la carga de justificar los eventuales prejuicios que se le irrogarían y la suspensión solicitada tiene un contenido meramente económico en tanto que se limita a reconocer el derecho a la percepción de un complemento salarial, lo que impide considerar que tenga efectos irreparables”.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dejado constancia en los antecedentes de la presente resolución, por medio de otrosí digo en su escrito de demanda de amparo la administración aquí recurrente solicitó la suspensión, ex art. 56.2 de la Ley Orgánica del Tribunal Constitucional (LOTC), únicamente de la sentencia estimatoria dictada por el Juzgado de lo Contencioso-Administrativo núm. 1 de Mérida, de 2 de marzo de 2018, en el procedimiento abreviado núm. 155-2017 donde aquélla fue parte demandada. Sentencia que sin embargo no devino impugnada en este amparo, cuyo objeto se ciñe, por voluntad de la administración recurrente, a las dos resoluciones (auto y providencia confirmatoria de aquél) dimanantes de la Sala de lo Contencioso-Administrativo del Tribunal Superior de Justicia de Extremadura que inadmitieron la preparación de su recurso de casación por infracción de normativa autonómica, promovido contra aquella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abierta la pieza incidental tras la admisión a trámite de este recurso de amparo, la administración autonómica ha formalizado el correspondiente escrito de alegaciones, interesando en él la suspensión nuevamente de la sentencia de instancia ya indicada, pero también la del auto de 10 de septiembre de 2018 de la sala competente del Tribunal Superior de Justicia que inadmitió el recurso de casación. La concreta delimitación del objeto de este recurso de amparo, en los términos expuestos, y la distinta naturaleza de las dos resoluciones de las que se pide la suspensión de sus efectos, aconsejan un pronunciamiento separado que, en todo caso y según se adelanta ya, resultará en ambos desestimatorio.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hace a la solicitud de suspensión de la sentencia de instancia, la parte recurrente ha solicitado en su demanda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 Posteriormente, en el trámite de audiencia de este incidente de suspensión la recurrente ha presentado alegaciones en las que se ha limitado a señalar que, de no acordarse la suspensión interesada, “se consolidaría una situación difícilmente reversible y, de este modo, se malograría también la efectividad del amparo solicitado, a efecto de desigualdad de realizar un pago de un complemento, que otros 98 individuos en iguales condiciones no se están beneficiando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recurrente residencia, de este modo, el perjuicio que fundamenta su pretensión cautelar en la posibilidad de que la persona que obtuvo un pronunciamiento favorable en la sentencia de 2 de marzo de 2018, dictada por el Juzgado de lo Contencioso-Administrativo núm. 1 de Mérida, consiga, en ejecución de la misma, el cobro del complemento salarial controvertido en el pleito judicial, complemento que, según afirma la actora, no habrían percibido otros empleados públicos. Se residencia, de este modo, el perjuicio en un daño de naturaleza económica, aunque el acento parece situarse, más que en la entidad del perjuicio mismo, en la situación de desigualdad supuestamente consumada entre distintos empleados públicos. Se pone de manifiesto, con ello, que lo que se interesa realmente en el presente incidente cautelar no es tanto la suspensión de las resoluciones impugnadas en amparo —la providencia de inadmisión del incidente de nulidad de actuaciones y el auto inadmitiendo el recurso de casación— sino, más bien, la de los pronunciamientos de la sentencia dictada en instancia, que ha ganado firmeza, a la que no se achaca, en la demanda de amparo, vulneración constitucional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delimitada la petición formulada, hemos de recordar que, en la doctrina de este Tribunal los perjuicios de carácter patrimonial o económico, por más que puedan producir efectos desfavorables a quien demanda amparo, no deben considerarse, en principio,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(entre tantos otros, ATC 9/2018, de 5 de febrero,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en el ATC 5/2018, FJ 2, se ha acordado la suspensión en supuestos muy concretos, en los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132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(por ejemplo, ATC 26/2011, de 14 de marzo, FJ 1). En resumen, el carácter no reparable de la resolución es pacíficamente aceptado en casos de embargo y adjudicación a un tercero de buena fe de ciertos bienes inmuebles o por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asimismo, doctrina constante del Tribunal que la acreditación del perjuicio es carga del recurrente, quien debe precisar los concretos perjuicios que de la ejecución se deriven, así como justificar o argumentar razonadamente la imposibilidad de reparación de los mismos; que el perjuicio irreparable debe ser real, sin que sea posible alegar un perjuicio futuro o hipotético o un simple temor; y que la pérdida de la finalidad del amparo no puede equipararse a la mayor o menor dificultad, molestia o incomodidad para el recurrente (recientemente, ATC 160/2017, de 21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expuesta y tras examinar las razones esgrimidas por la entidad pública recurrente para fundamentar su petición cautelar, hemos de llegar a la conclusión de que, en el caso que se nos plantea, la carga que pesaba sobre la actora en cuanto a la acreditación del carácter no reparable del perjuicio invocado no ha sido debidamente satisfecha. La entidad recurrente se ha limitado a aludir genéricamente en sus alegaciones a la desigualdad que, a su juicio, conllevaría el cobro por parte de una empleada pública —la litigante en el pleito del que deriva el presente proceso de amparo— de un determinado complemento salarial, no reconocido con carácter general por la administración demandante de amparo a los empleados que se encuentran a su servicio en un concreto sector de actividad. A falta de mayor concreción, ninguna conexión puede establecerse entre esa supuesta desigualdad en el cobro de un complemento salarial y la 162 cuestión realmente crucial en el presente incidente de suspensión, que es la imposibilidad de reparar el perjuicio invocado. Siendo tal perjuicio, en el supuesto que nos ocupa, de naturaleza patrimonial o económica (y, siendo, en principio, reversible, especialmente para una administración pública en relación con sus propios empleados), es claro que la actora no ha levantado la carga que sobre ella pesaba de acreditar su carácter irreparable. A falta de tal argumentación, el presente proceso de amparo, que se refiere a una cuestión estrictamente procesal, ha de discurrir sin interferir en el derecho que puede asistir a una empleada pública a instar la ejecución de un pronunciamiento económico favorable legítimamente obtenido de los tribunales de justicia en relación con su empleadora.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y último lugar, respecto de la petición de suspensión del auto de 10 de septiembre de 2018 que negó tener por preparado el recurso de casación de la demandada y aquí recurrente, impidiendo su continuación, no procede acceder a lo solicitado en aplicación de la reiterada doctrina de este Tribunal Constitucional, de la que resulta ser exponente el ATC 156/2012, de 21 de agosto, FJ 1, con cita del anterior ATC 56/2012, de 26 de marzo, FJ 2, y las resoluciones que en este último se citan (entre ellas, el ATC 314/2006, de 25 de septiembre, FJ 2, también a propósito de la inadmisión de un recurso de casación), en cuya virtud: “las resoluciones judiciales de mero contenido negativo, como son la que cierran la posibilidad a continuar con un procedimiento o acceder a un recurso, no son susceptibles de suspensión, puesto que de lo contrario equivaldría a adelantar un eventual fallo estimatorio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además diciendo el mismo ATC 156/2012, en el fundamento jurídico 2: “En el presente caso las recurrentes solicitan la suspensión de la decisión judicial por la que se acuerda no tener por preparado un recurso de apelación […] No procede acceder a la suspensión solicitada, ya que, al margen de tratarse de una decisión de contenido negativo, por lo que la suspensión supondría el adelantamiento de un eventual fallo estimatorio, las recurrentes no han cumplido con la carga que les incumbe de justificar y argumentar razonadamente los concretos perjuicios que se derivarían de la circunstancia de mantener por el momento la imposibilidad de formular recurso de apelación. En cualquier caso, además, tampoco cabe apreciar que la denegación de la suspensión sea susceptible de hacer perder al amparo su finalidad ya que, como destaca el Ministerio Fiscal, en caso de estimarse el presente recurso el restablecimiento pleno del derecho podría lograrse declarando la nulidad de las resoluciones y la retroacción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esos mismos términos ha de merecer una respuesta negativa la solicitud aquí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