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5783-2018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5783-2018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102-2018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noviembre de 2018, la entidad Euroinversiones Inmobiliarias Costa Sur, S.L., representada por la procuradora de los Tribunales doña Blanca Berriatua Horta y bajo la dirección del letrado don Marcelino Gilabert Costa, interpuso recurso de amparo contra los autos dictados por el Juzgado de Primera Instancia e Instrucción núm. 3 de Lorca en el procedimiento de ejecución hipotecaria núm. 102-2018 en fechas 3 de julio y 26 de septiembre de 2018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102-2018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20 de abril de 2018 se acordó despachar ejecución frente las sociedades demandadas. El citado auto y el decreto de la misma fecha que le fueron comunicados a las citadas entidades a través de la sede judicial electrónica el día 26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Euroinversiones Inmobiliarias Costa Sur, S.L., presentó escrito de oposición a la ejecución despachada con fecha 26 de junio de 2018. Por auto de 3 de julio de 2018 se acordó su inadmisión por presentación extemporánea, tomando como fecha de notificación el 26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26 de abril de 2018 sino el 11 de junio de 2018 y que la comunicación remitida a través de la dirección electrónica habilitada no puede entenderse más que un aviso de puesta a disposición o descarga de su contenido durante un plazo determinado (en el caso desde el 26 de abril al 11 de junio de 2018) y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fue desestimado por auto de 26 de septiembre de 2018.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373.3 LEC. Según el auto, si bien “es cierto que la notificación por medios electrónicos efectivamente se realiza cuando el destinatario accede a su contenido”, la recurrente “yerra en el plazo en el que puede acceder a [dicho] contenido a efectos de la práctica de la notificación el cual es de diez días naturales desde la puesta a su disposición y ello por imperativo del artículo 43.2 de la citada Ley 39/2015, de 1 de octubre, del Procedimiento Administrativo Común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Penrei Inversiones, S.L., — NIF B73836173.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26 de abril de 2018 hasta el 11 de junio de 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conste como leída, por favor acceda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http://notificaciones060.es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Asunto: ‘JDO. 1 INST. E INSTR. N 3 DE LORCA EHJ/000000102/2018’”.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mayo de 2019 la Sección Primera de este Tribunal acordó admitir a trámite el recurso de amparo y dirigir comunicación al Juzgado de Primera Instancia e Instrucción núm. 3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27 de mayo de 2019, la parte demandante formuló sus alegaciones, reiterando lo dicho en el otrosí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4 de junio de 2019, interesa que se acuerde la anotación preventiva de la demanda en el registro de la propiedad, aunque esta última medida no haya sido solicitada en el recurso de amparo. Tras exponer la doctrina de este Tribunal sobre suspensión de resoluciones y actos impugnados, aduce que en el presente caso la suspensión no aparece muy fundamentada por la propia parte recurrente, resultará más eficaz la anotación preventiva de la demanda en el registro de la propiedad mediante la que se evitaría que un hipotético tercer adquirente del inmueble hipotecado quede especialmente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21 de junio de 2019 se acordó, conforme a lo dispuesto en el art. 56 LOTC, dar audiencia por tres días a Banco de Sabadell, S.A., representado por la procuradora doña Blanca María Grande Pesquero, por haberse personado en las actuaciones principales. Esta parte ha presentado escrito en que solicita la denegación de la suspensión ya que, a su juicio, la demandante de amparo no ha acreditado ningún tipo de perjuicio que pueda considerarse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102-2018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el procedimiento se encuentra en la fase inicial una vez rechazada la oposición a la ejecución y que el inmueble sobre el que se sigue tal ejecución está constituido por una vivienda cuya situación posesoria no consta.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102-2018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