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84</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5913-2018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5913-2018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12 de noviembre de 2018, la Junta de Extremadura, representada por la procuradora de los tribunales doña Aurora Gómez-Villaboa Mandri y bajo la dirección de la letrada doña Ana Cristina Sánchez-Barriga Leiton, interpuso recurso de amparo contra la providencia de la Sección Primera de la Sala de lo Contencioso-Administrativo del Tribunal Superior de Justicia de Extremadura de 11 de octubre de 2018, por la que se inadmite el incidente de nulidad de actuaciones interpuesto contra el auto de 10 de septiembre de 2018, por el que se inadmite el recurso de casación autonómico núm. 2-2018, interpuesto contra la sentencia del Juzgado de lo Contencioso-Administrativo núm. 1 de Mérida de 2 de marzo de 2018, pronunciada en el procedimiento abreviado núm. 157-2017 sobre reconocimiento de complemento salarial a una empleada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que se suspenda la ejecución de la sentencia pronunciada por el Juzgado de lo Contencioso-Administrativo argumentando lo siguiente: “que previendo el art. 56.2 LOTC la suspensión de los efectos de las resoluciones judiciales que son objeto de amparo en este procedimiento interesamos se acuerde la misma porque su ejecución puede hacer perder la finalidad legítima que nos lleva a impetrar el amparo de ese Alto Tribunal, la suspensión, por otra parte, no perturbaría ningún interés constitucionalmente protegido ni a los derechos fundamentales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 este Tribunal, por sendas providencias de 20 de mayo de 2019, acordó, en la primera, la admisión a trámite del presente recurso de amparo, apreciando que concurre en el mismo una especial trascendencia constitucional (art. 50.1 LOTC) porque el asunto suscitado transciende el caso concreto al plantear una cuestión jurídica de relevante y general repercusión social o económica [STC 155/2009, FJ 2 g)] y la formación de pieza separada para la sustanciación del incidente de suspensión; y, en la segunda, conceder a la parte recurrente y al ministerio fiscal 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presentó sus alegaciones sobre la suspensión en fecha 30 de mayo de 2019. Tras reiterar algunas de las alegaciones relativas al fondo del asunto, la entidad pública actora justifica la petición de suspensión señalando que, de no acordarse tal medida, “se consolidaría una situación difícilmente reversible y, de este modo, se malograría también la efectividad del amparo solicitado, a efecto de desigualdad de realizar un pago de un complemento, que otros individuos en iguales condiciones no se están beneficiando del mismo. Y de esta forma no se cierre la vía [a] esta administración de conocer un recurso establecido legalmente y por parte del Tribunal Superior de Justicia de Extremadura, se admita recurso de casación planteado y pueda resolver sobre las infracciones mencionadas”. Considera que el perjuicio que “el no otorgamiento de la suspensión ocasionaría a esta administración” sería “irreparable”.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el 10 de junio de 2019, presentó alegaciones interesando denegar la suspensión solicitada, ya que (i) la parte recurrente lo que está solicitando es la suspensión de efectos de la sentencia recurrida en casación y no la decisión judicial de inadmisión del recurso de casación, que es la impugnada en este recurso de amparo, lo que es determinante para su denegación (ATC 266/2005, de 20 de junio, FJ 1); y (ii) en cualquier caso, la parte recurrente no ha cumplido con la carga de justificar los eventuales prejuicios que se le irrogarían y la suspensión solicitada tiene un contenido meramente económico en tanto que se limita a reconocer el derecho a la percepción de un complemento salarial, lo que impide considerar que tenga efectos irreparables.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artículo 56.1 de la Ley Orgánica del Tribunal Constitucional (LOTC) establece, como regla general, que la interposición de un recurso de amparo no suspenderá los efectos del acto o sentencia impugnados. Como excepción, el artículo 56.2 LOTC posibilita la suspensión del acto o sentencia cuando su ejecución produzca un perjuicio al recurrente que pudiera hacer perder su finalidad al amparo, siempre y cuando la suspensión no ocasione perturbación grave a un interés constitucionalmente protegido, ni a los derechos fundamentales o libertades de otra persona. La suspensión cautelar de las resoluciones impugnadas en amparo se configura como una medida provisional de carácter excepcional y de aplicación restrictiva, que deriva de la necesidad de preservar el interés general, de garantizar la efectividad de las decisiones de los poderes públicos y de asegurar la ejecución de las resoluciones dictadas por jueces y tribunales en el ejercicio de la potestad jurisdiccional que les confiere el artículo 117.3 CE (así, AATC 82/2018, de 17 de julio, FJ 1, y 98/2018, de 18 de septiembre,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también ha reiterado que el demandante de amparo tiene la carga de acreditar el perjuicio y debe precisar los concretos detrimentos o daños que pueden derivarse de la ejecución del acto impugnado, así como justificar o argumentar razonadamente su carácter irreparable. Asimismo, es doctrina reiterada que el perjuicio, para ser irreparable, debe ser real y actual y que no es posible alegar un daño futuro o hipotético o un simple temor. Y, en fin, que la pérdida de la finalidad del amparo no puede equipararse a la mayor o menor dificultad, molestia o incomodidad para el recurrente (entre otros, AATC 160/2017, de 21 de noviembre, FJ 2, y 88/2018, de 17 de septiembre,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 que hace a la solicitud de suspensión de la sentencia de instancia, la parte recurrente ha solicitado en su demanda que “previendo el art. 56.2 LOTC la suspensión de los efectos de las resoluciones judiciales que son objeto de amparo en este procedimiento interesamos se acuerde la misma porque su ejecución puede hacer perder la finalidad legítima que nos lleva a impetrar el amparo de ese Alto Tribunal, la suspensión por otra parte, no perturbaría ningún interés constitucionalmente protegido ni a los derechos fundamentales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Posteriormente, en el trámite de audiencia de este incidente de suspensión la recurrente ha presentado alegaciones en las que se ha limitado a señalar que, de no acordarse la suspensión interesada, “se consolidaría una situación difícilmente reversible y, de este modo, se malograría también la efectividad del amparo solicitado, a efecto de desigualdad de realizar un pago de un complemento, que otros 98 individuos en iguales condiciones no se están beneficiando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entidad recurrente residencia, de este modo, el perjuicio que fundamenta su pretensión cautelar en la posibilidad de que la persona que obtuvo un pronunciamiento favorable en la sentencia de 2 de marzo de 2018, dictada por el Juzgado de lo Contencioso-Administrativo núm. 1 de Mérida, consiga, en ejecución de la misma, el cobro del complemento salarial controvertido en el pleito judicial, complemento que, según afirma la actora, no habrían percibido otros empleados públicos. Se residencia, de este modo, el perjuicio en un daño de naturaleza económica, aunque el acento parece situarse, más que en la entidad del perjuicio mismo, en la situación de desigualdad supuestamente consumada entre distintos empleados públicos. Se pone de manifiesto, con ello, que lo que se interesa realmente en el presente incidente cautelar no es tanto la suspensión de las resoluciones impugnadas en amparo –la providencia de inadmisión del incidente de nulidad de actuaciones y el auto inadmitiendo el recurso de casación− sino, más bien, la de los pronunciamientos de la sentencia dictada en instancia, que ha ganado firmeza, a la que no se achaca, en la demanda de amparo, vulneración constitucional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Una vez delimitada la petición formulada, hemos de recordar que, en la doctrina de este Tribunal los perjuicios de carácter patrimonial o económico, por más que puedan producir efectos desfavorables a quien demanda amparo, no deben considerarse, en principio, causa suficiente para acordar la suspensión de una resolución judicial firme, pues dichos perjuicios son susceptibles de ser reparados en la hipótesis de que la pretensión de amparo sea estimada, de modo que no conllevan un perjuicio irremediable al obligado al pago que pueda hacer perder la finalidad del recurso (entre tantos otros, ATC 9/2018, de 5 de febrero, FJ 2, y los allí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Sólo en el caso de que el recurrente en amparo justificase cumplidamente que el no otorgamiento de la suspensión le ocasionaría un perjuicio irreparable que haría perder al amparo su finalidad, y siempre que de dicha medida cautelar no se siga una perturbación grave de los intereses generales o de los derechos y libertades fundamentales de un tercero, procedería acordar la suspensión interesada. Por ello, como se recuerda en el ATC 5/2018, FJ 2, se ha acordado la suspensión en supuestos muy concretos, en los que la ejecución de las resoluciones recurridas en amparo acarrearía perjuicios económicos difícilmente reparables por su entidad o por la irreversibilidad de las situaciones jurídicas que puedan producirse, “como ocurre en los casos de enajenación forzosa de los bienes embargados o de transmisión a un tercero de la propiedad de un bien determinado, haciendo así que éste sea irrecuperable (por todos, AATC 565/1986, 132 52/1989, 222/1992, 183/1996, 5/1997, 52/1997, 287/1997, 99/1998, y 161/1999), así como de demolición de viviendas (ATC 225/1999, de 27 de septiembre)”. Otro tanto sucede cuando se declara la resolución de la relación arrendaticia y se acuerda el lanzamiento de la vivienda o local, pues la pérdida de la posesión del inmueble podría dar lugar a un perjuicio difícilmente reparable en su integridad, al generar una situación irreversible, e incluso en supuestos de privación temporal del uso de la vivienda de la que es propietario el recurrente y que constituye su residencia habitual (por ejemplo, ATC 26/2011, de 14 de marzo, FJ 1). En resumen, la no reparación del perjuicio es pacíficamente aceptada en casos de embargo y adjudicación a un tercero de buena fe de ciertos bienes inmuebles o por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asimismo, doctrina constante del Tribunal que la acreditación del perjuicio es carga del recurrente, quien debe precisar los concretos daños que de la ejecución se deriven, así como justificar o argumentar razonadamente que los mismos no sean reparables; que el perjuicio irreparable debe ser real, sin que sea posible alegar uno futuro o hipotético o un simple temor; y que la pérdida de la finalidad del amparo no puede equipararse a la mayor o menor dificultad, molestia o incomodidad para el recurrente (recientemente, ATC 160/2017, de 21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la doctrina expuesta y tras examinar las razones esgrimidas por la entidad pública recurrente para fundamentar su petición cautelar, hemos de llegar a la conclusión de que, en el caso que se nos plantea, la carga que pesaba sobre la actora en cuanto a la acreditación de la imposibilidad de reparación del perjuicio invocado no ha sido debidamente satisfecha. La entidad recurrente se ha limitado a aludir genéricamente en sus alegaciones a la desigualdad que, a su juicio, conllevaría el cobro por parte de una empleada pública —la litigante en el pleito del que deriva el presente proceso de amparo— de un determinado complemento salarial, no reconocido con carácter general por la administración demandante de amparo a los empleados que se encuentran a su servicio en un concreto sector de actividad. A falta de mayor concreción, ninguna conexión puede establecerse entre esa supuesta desigualdad en el cobro de un complemento salarial y la cuestión realmente crucial en el presente incidente de suspensión, que es la no posibilidad de reparación del perjuicio invocado. En el supuesto que nos ocupa, tiene naturaleza patrimonial o económica (es en principio, reversible, especialmente para una administración pública en relación con sus propios empleados), es claro que la actora no ha levantado la carga que sobre ella pesaba de acreditar su carácter irreparable. A falta de tal argumentación, el presente proceso de amparo, que se refiere a una cuestión estrictamente procesal, ha de discurrir sin interferir en el derecho que puede asistir a una empleada pública a instar la ejecución de un pronunciamiento económico favorable, legítimamente obtenido de los tribunales de justicia en relación con su empleadora.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segundo y último lugar, respecto de la petición de suspensión del auto de 10 de septiembre de 2018 que negó tener por preparado el recurso de casación de la demandada y aquí recurrente, impidiendo su continuación, no procede acceder a lo solicitado en aplicación de la reiterada doctrina de este Tribunal Constitucional, de la que resulta ser exponente el ATC 156/2012, de 21 de agosto, FJ 1, con cita del anterior ATC 56/2012, de 26 de marzo, FJ 2 y las resoluciones que en este último se citan (entre ellas, el ATC 314/2006, de 25 de septiembre, FJ 2, también a propósito de la inadmisión de un recurso de casación), en cuya virtud: “las resoluciones judiciales de mero contenido negativo, como son la que cierran la posibilidad a continuar con un procedimiento o acceder a un recurso, no son susceptibles de suspensión, puesto que de lo contrario equivaldría a adelantar un eventual fallo estimatorio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Continúa además diciendo el mismo ATC 156/2012, FJ 2: “En el presente caso las recurrentes solicitan la suspensión de la decisión judicial por la que se acuerda no tener por preparado un recurso de apelación […]. No procede acceder a la suspensión solicitada, ya que, al margen de tratarse de una decisión de contenido negativo, por lo que la suspensión supondría el adelantamiento de un eventual fallo estimatorio, las recurrentes no han cumplido con la carga que les incumbe de justificar y argumentar razonadamente los concretos perjuicios que se derivarían de la circunstancia de mantener por el momento la imposibilidad de formular recurso de apelación. En cualquier caso, además, tampoco cabe apreciar que la denegación de la suspensión sea susceptible de hacer perder al amparo su finalidad ya que, como destaca el ministerio fiscal, en caso de estimarse el presente recurso el restablecimiento pleno del derecho podría lograrse declarando la nulidad de las resoluciones y la retroacción de las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esos mismos términos ha de merecer una respuesta negativa la solicitud aquí formulada.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