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mayo de 2018, el procurador de los tribunales don Benigno González González, en nombre y representación de don Ramón Constantino Arias García, y bajo la dirección del letrado don Jaime Carvajal González, interpuso recurso de amparo contra el auto del Juzgado de Primera Instancia e Instrucción núm. 3 de Siero núm. 77-2018, de 16 de marzo, por el que se desestima el incidente de nulidad actuaciones en el procedimiento de ejecución de títulos no judiciales núm. 151-2015.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de títulos no judiciales del que trae causa el presente amparo alegando que su continuación haría perder al amparo su finalidad “dado que con el mismo la entidad bancaria ejecutante en el mismo viene percibiendo cantidades que no le corresponderían en caso de acordarse la revisión de oficio de las cláusulas abusivas y declararse la nulidad de las mismas, así como lo gravoso que el mismo resulta con la adopción de trabas y embargos acordados en tal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15 de julio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29 de julio de 2019, presentó alegaciones interesando la denegación de la suspensión solicitada argumentando, tras enunciar la jurisprudencia constitucional sobre el particular, que el recurrente se ha limitado a pedir la suspensión de un procedimiento de ejecución de un préstamo personal, “en el que no nos consta que se hayan tomado medidas judiciales ninguna que afecte a la propiedad de bienes inmuebles, limitándose a ejecutar por unas cantidades impagadas. Se trata de decisiones de carácter puramente económico que es perfectamente restituible por el banco en el caso de que se diere lugar al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31 de julio de 2019, presentó alegaciones reiterando la solicitud de suspensión y que esta se acuerde sin establecer fianza o caución alguna, ya que está en una difícil situación económica que ha llevado a que le fuera concedido el derecho a la asistencia jurídica gratuita. Adjunta con el escrito documentación acreditativa de los diversos embargos acordados en relación con las cantidades pendientes de percibir en distintos procedimientos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(ii)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y (iii) 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solo se ha accedido a la suspensión en supuestos excepcionales en los que la ejecución de las resoluciones recurridas en amparo acarrearía perjuicios económicos muy difícilmente reparables por su entidad o por la irreversibilidad de las situaciones jurídicas que puedan producirse (así, por ejemplo, ATC 194/2016, de 28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la suspensión que se solicita es de exclusivo carácter económico, ya que lo es en relación con la ejecución del embargo de determinadas cantidades que el recurrente tenía pendientes de percibir en distintos procedimientos judiciales. Por otra parte, el recurrente se ha limitado a fundamentar el perjuicio irreparable que esta ejecución le supone (i) en que con dicha ejecución la entidad bancaria ejecutante viene percibiendo cantidades que no le corresponderían en caso de acordarse la revisión de oficio de las cláusulas abusivas y declararse la nulidad de las mismas; (ii) en lo gravoso que le resulta el hecho de la adopción de trabas y embargos acordados en tal procedimiento y, (iii) añadiendo en su escrito de alegaciones, que le ha sido reconocido el derecho a la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respecto de la primera cuestión, no es posible hacer pronunciamiento alguno en esta pieza de suspensión por ser la cuestión de fondo objeto de la controversia, de la que no puede depender la medida cautelar, definida en su objeto y requisitos en el art. 56 LOTC. Respecto de la segunda, siendo la ejecución de mero contenido económico, la argumentación del recurrente no pone de manifiesto la concurrencia de excepcionales circunstancias vinculadas a la irreparabilidad de los perjuicios económicos que se pudieran estar irrogando con la ejecución, siendo insuficiente, a los efectos de desarrollar el esfuerzo argumental necesario para poner de manifiesto a este Tribunal cómo repercutiría la ejecución en el patrimonio de la obligada al pago, la mera alegación de haber obtenido recientemente el derecho a la asistencia jurídica gratuita, especialmente tomando en consideración que los embargos acreditados están recayendo sobre cantidades que van obteniéndose por el recurrente en otros procedimientos judiciales que tiene entablados.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