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6458-2018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6458-2018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107-2018,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diciembre de 2018, la entidad Penrei Inversiones, S.L., representada por la procuradora de los tribunales doña Blanca Berriatua Horta y bajo la dirección de la letrada doña Anju Nirmala Benavent Rodríguez, interpuso recurso de amparo contra los autos dictados por el Juzgado de Primera Instancia e Instrucción núm. 3 de Lorca en el procedimiento de ejecución hipotecaria núm. 107-2018, en fechas 10 de julio de 2018 y 17 de octubre de 2018, por los que, respectivamente, se inadmitió por extemporánea la oposición a la ejecución hipotecaria y se confirmó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107-2018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3 de mayo de 2018 se acordó despachar ejecución frente a las sociedades demandadas. El citado auto y el decreto de la misma fecha que le sigue fueron comunicados a las citadas entidades a través de la sede judicial electrónica el día 7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Penrei Inversiones, S.L., presentó escrito de oposición a la ejecución despachada con fecha 9 de julio de 2018. Por auto de 10 de julio de 2018 se acordó su inadmisión por presentación extemporánea, tomando como fecha de notificación el 7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alegando, en síntesis, que las actuaciones de notificación y requerimiento no habían sido realizadas el día 7 de mayo de 2018, sino el 23 de junio de 2018, y que la comunicación remitida a través de la dirección electrónica habilitada no podía entenderse nada más que como un aviso de puesta a disposición o descarga de su contenido durante un plazo determinado (en el caso desde el 8 de mayo al 23 de junio de 2018), y entenderlo de otro modo, además de infringir los arts. 135, 152, 160, 162 de la Ley de enjuiciamiento civil (LEC), vulneraba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resuelto por auto de 17 de octubre de 2018 en sentido desestimatorio, al constatar la condición de persona jurídica de la recurrente y la obligación que como tal tiene de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de procedimiento administrativo común de las administraciones públicas (LPACAP) y 373.3 LEC, y determina que la recurrente yerra “en el plazo en el que puede acceder a su contenido a efectos de la práctica de la notificación, el cual es de diez días naturales desde la puesta a su disposición y ello por imperativo del art. 43 de la citada LPACAP”, que reproduce.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recibido una Notificación del organismo emisor Juzgados y Tribunales (SGAJ) en la Dirección Electrónica Habilitada única del titular Penrei Inversiones SL - NIF B73836173.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08-05-2018 hasta el 23-06-2018.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conste como leída, por favor acceda a http://notificaciones.060.es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través de su DEH podrá también consultar notificaciones de otras Administraciones.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Asunto: jdo. 1 inst. e instr. núm. 3 de Lorca EJH/0000107/2018”.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junio de 2019 la Sección Segunda de este Tribunal acordó admitir a trámite el recurso de amparo y dirigir comunicación al Juzgado de Primera Instancia e Instrucción núm. 3 de Lorca, a fin de que, en el plazo de diez días, remitiera certificación o fotocopia adverada de las actuaciones correspondientes a la ejecución hipotecaria núm. 107-2018; debiendo previamente emplazarse a quienes hubieran sido parte en el procedimiento, excepto la parte recurrente en amparo, para que en el plazo de diez días pudieran comparecer en el recurso de amparo, si lo desean.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escrito presentado el 27 de junio de 2019, la parte demandante formuló sus alegaciones, reiterando lo dicho en el otrosí de su demanda y trascribiendo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4 de julio de 2019, interesa que se acuerde la anotación preventiva de la demanda en el registro de la propiedad, aunque esta última medida no haya sido solicitada en el recurso de amparo. Tras exponer la doctrina de este Tribunal sobre suspensión de resoluciones y actos impugnados, considera que la aplicación al caso de dicha doctrina nos debe llevar a considerar que nos encontramos en uno de esos supuestos en que, de no adoptarse la medida de anotación preventiva de la demanda, la tutela que pudiera otorgarse por este Tribunal no sería completa si se deja abierta la posibilidad de que la finca sea transmitida a un tercero de buena fe mientras se sustancia y resuelve el presente recurso de amparo, por lo que interesa la anotación preventiva de la demanda en el registro de la propiedad evitando así situaciones cuya reversibilidad sería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107-2018,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su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79/2019, 80/2019 y 81/2019, todos ellos de 15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107-2018,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