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6458-2018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6458-2018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107-2018, seguido en el Juzgado de Primera Instancia e Instrucción núm. 3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5 de diciembre de 2018, la entidad Penrei Inversiones, S.L., representada por la procuradora de los tribunales doña Blanca Berriatua Horta y bajo la dirección de la letrada doña Anju Nirmala Benavent Rodríguez, interpuso recurso de amparo contra los autos dictados por el Juzgado de Primera Instancia e Instrucción núm. 3 de Lorca en el procedimiento de ejecución hipotecaria núm. 107-2018, en fechas 10 de julio de 2018 y 17 de octubre de 2018, por los que, respectivamente, se inadmitió por extemporánea la oposición a la ejecución hipotecaria y se confirmó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3 de Lorca se sigue procedimiento de ejecución hipotecaria núm. 107-2018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3 de mayo de 2018 se acordó despachar ejecución frente a las sociedades demandadas. El citado auto y el decreto de la misma fecha que le sigue fueron comunicados a las citadas entidades a través de la sede judicial electrónica el día 7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Penrei Inversiones, S.L., presentó escrito de oposición a la ejecución despachada con fecha 9 de julio de 2018. Por auto de 10 de julio de 2018 se acordó su inadmisión por presentación extemporánea, tomando como fecha de notificación el 7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alegando, en síntesis, que las actuaciones de notificación y requerimiento no habían sido realizadas el día 7 de mayo de 2018, sino el 23 de junio de 2018, y que la comunicación remitida a través de la dirección electrónica habilitada no podía entenderse nada más que como un aviso de puesta a disposición o descarga de su contenido durante un plazo determinado (en el caso desde el 8 de mayo al 23 de junio de 2018), y entenderlo de otro modo, además de infringir los arts. 135, 152, 160, 162 de la Ley de enjuiciamiento civil (LEC), vulneraba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recurso fue resuelto por auto de 17 de octubre de 2018 en sentido desestimatorio, al constatar la condición de persona jurídica de la recurrente y la obligación que como tal tiene de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de procedimiento administrativo común de las administraciones públicas (LPACAP) y 373.3 LEC, y determina que la recurrente yerra “en el plazo en el que puede acceder a su contenido a efectos de la práctica de la notificación, el cual es de diez días naturales desde la puesta a su disposición y ello por imperativo del art. 43 de la citada LPACAP”, que reproduce.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El citado correo tiene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recibido una Notificación del organismo emisor Juzgados y Tribunales (SGAJ) en la Dirección Electrónica Habilitada única del titular Penrei Inversiones SL - NIF B73836173.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estará disponible en su Dirección Electrónica Habilitada única desde el 08-05-2018 hasta el 23-06-2018. Si no procediera a su lectura en el plazo indicado se producirán los efectos correspondientes, según la normativa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conste como leída, por favor acceda a http://notificaciones.060.es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través de su DEH podrá también consultar notificaciones de otras Administraciones.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Asunto: jdo. 1 inst. e instr. núm. 3 de Lorca EJH/0000107/2018”.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entidad recurrente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interprete,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junio de 2019 la Sección Segunda de este Tribunal acordó admitir a trámite el recurso de amparo y dirigir comunicación al Juzgado de Primera Instancia e Instrucción núm. 3 de Lorca, a fin de que, en el plazo de diez días, remitiera certificación o fotocopia adverada de las actuaciones correspondientes a la ejecución hipotecaria núm. 107-2018; debiendo previamente emplazarse a quienes hubieran sido parte en el procedimiento, excepto la parte recurrente en amparo, para que en el plazo de diez días pudieran comparecer en el recurso de amparo, si lo desean.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través de escrito presentado el 27 de junio de 2019, la parte demandante formuló sus alegaciones, reiterando lo dicho en el otrosí de su demanda y trascribiendo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4 de julio de 2019, interesa que se acuerde la anotación preventiva de la demanda en el registro de la propiedad, aunque esta última medida no haya sido solicitada en el recurso de amparo. Tras exponer la doctrina de este Tribunal sobre suspensión de resoluciones y actos impugnados, considera que la aplicación al caso de dicha doctrina nos debe llevar a considerar que nos encontramos en uno de esos supuestos en que, de no adoptarse la medida de anotación preventiva de la demanda, la tutela que pudiera otorgarse por este Tribunal no sería completa si se deja abierta la posibilidad de que la finca sea transmitida a un tercero de buena fe mientras se sustancia y resuelve el presente recurso de amparo, por lo que interesa la anotación preventiva de la demanda en el registro de la propiedad evitando así situaciones cuya reversibilidad sería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107-2018, seguido en el Juzgado de Primera Instancia e Instrucción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su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79/2019, 80/2019 y 81/2019, todos ellos de 15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107-2018, seguido en el Juzgado de Primera Instancia e Instrucción núm. 3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