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1981-2019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1981-2019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57-2018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Penrei Inversiones, S.L., representada por la procuradora de los tribunales doña Blanca Berriatua Horta, con asistencia letrada de doña Anju Nirmala Benavent Rodríguez, solicita la suspensión del proceso de ejecución hipotecaria núm. 57-2018 tramitado por el Juzgado de Primera Instancia e Instrucción núm. 6 de Lorca. Lo hace por otrosí en el escrito de 26 de marzo de 2019 por el que interpone recurso de amparo contra los autos de 17 de septiembre de 2018 y 11 de febrero del año siguiente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57-2018 promovido por la entidad Banco de Sabadell, S.A., frente a las sociedades Euroinversiones Inmobiliarias Costa Sur, S.L., en calidad de prestataria e hipotecante, y Penrei Inversiones, S.L., en calidad de titular del derecho uso del inmueble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29 de mayo de 2018, las sociedades demandadas fueron requeridas y notificadas el 30 del mismo mes a través de la Sede Judicial Electrónica.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24 de julio de 2018, las sociedades demandadas formulan oposición a la ejecución despachada. Por Auto de 17 de septiembre del mismo año fue inadmitida por extemporánea, tomando como fecha de notificación el 30 de mayo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ejecutada Penrei Inversiones, S.L., interpone recurso de reposición. Alega que las diligencias de notificación y requerimiento se realizaron el 15 de julio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desestimado por auto de 11 de febrero de 2019. El órgano judicial razona a la vista del art. 43 de la Ley 39/2015, de 1 de octubre, de procedimiento administrativo común, que la sociedad demandada contaba con diez días para acceder al contenido de la resolución y, con ello, para tenerse por notificada. En el presente caso, el 30 de mayo de 2018 la notificación estaba ya disponible. El escrito de oposición se formuló el 24 de julio y, por tanto, claramente fuera del plazo establecido en el art. 556.1 LEC (diez días desde la notificación del auto que despacha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24.1 y 2 CE). La interpretación de la legislación procesal, realizada a partir de una ley de procedimiento administrativo,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2019, la Sección Segunda de este Tribunal acuerda admitir a trámite el recurso y dirigir comunicación al Juzgado de Primera Instancia e Instrucción núm. 6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y, conforme a lo dispuesto en el art. 56 de la Ley Orgánica del Tribunal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septiembre de 2019,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 de octubre siguiente, el ministerio fiscal interesa que se acuerde la anotación preventiva de la demanda en el registro de la propiedad, por más que no haya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Personada en las actuaciones principales la entidad Pera Assets Designated Activity Company, el secretario de justicia de la Sala Primera, mediante diligencia de ordenación de 21 de octubre de 2019, le concede un plazo de tres días para alegar en relación con la petición de suspensión interesada por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de 28 de octubre de 2019, la entidad Pera Assets Designated Activity Company, representada por la procuradora de los tribunales, doña Blanca María Grande Pesquero, afirma que Banco Sabadell le ha cedido el crédito hipotecario y que, en virtud del régimen de sucesión procesal, las actuaciones deben continuarse con ella. Tras ello se opone a la suspensión solicitada a la vista de la doctrina constitucional, la vaguedad de la petición formulada, la mala fe procesal demostrada y el no ofrecimiento de un principio razonable de prueba ni caución o fianza razonable.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57-2018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144 290/1995, de 23 de octubre, 370/1996, de 16 de diciembre, 283/1999, de 29 de noviembre, 90/2014, de 27 de marzo, FJ 1; 190/2015, de 5 de noviembre, FJ 2 a); 59/2017, de 24 de abril, 146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 situación,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lo reputa idóneo para evitar el perjuicio derivado de que la adquisición del bien por tercero lo haga irreivindicable. Esta ha sido la solución acogida recientemente, entre otros, en los AATC 2/2019, 178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188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192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57-2018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