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1593-2019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1593-2019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64-2018 seguido en el Juzgado de Primera Instancia e Instrucción núm. 6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12 de marzo de 2019, la entidad Euroinversiones Inmobiliarias Costa Sur, S.L., representada por la procuradora de los tribunales doña Blanca Berriatua Horta y bajo la dirección del letrado don Marcelino Gilabert García , interpuso recurso de amparo contra los autos dictados por el Juzgado de Primera Instancia e Instrucción núm. 6 de Lorca en el procedimiento de ejecución hipotecaria núm. 64-2018 en fechas 19 de septiembre de 2018 y 22 de enero de 2019,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6 de Lorca se sigue procedimiento de ejecución hipotecaria núm. 64-2018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20 de junio de 2018 se acordó despachar ejecución frente a las sociedades demandadas. El citado auto y el decreto de la misma fecha fueron comunicados a las citadas entidades a través de la sede judicial electrónica el día 21 de junio de 2018. El mismo día, el servicio de notificaciones electrónicas de la Fábrica Nacional de Moneda y Timbre remitió a la demandante de amparo, a través de la dirección electrónica habilitada, una notificación del siguiente tenor: “[l]a Notificación estará disponible en su Dirección Electrónica Habilitada única desde el 21 de junio de 2018 hasta el 6 de agosto de 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demandante presentó escrito de oposición a la ejecución despachada, en fecha 27 de agosto de 2018. Por auto 19 de septiembre de 2018 se acordó su inadmisión por presentación extemporánea, al considerarse que había transcurrido el plazo de diez días previsto en el art. 695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21 de junio de 2018, sino el 27 de julio de 2018, y que la comunicación remitida a través de la dirección electrónica habilitada no puede entenderse más que como un aviso de puesta a disposición o descarga de su contenido durante un plazo determinado (en el caso desde el 21 de junio al 27 de julio de 2018). De ahí que, al haber accedido a dicha comunicación el día 27 de julio de 2018, es en ese día cuando debe entenderse efectuada la notificación. Y entenderlo de otro modo, además de infringir los arts. 135, 152, 160, 162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fue desestimado por auto de 22 de enero de 2019. Según consta en la indicada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a) de la Ley 39/2015 y 273.3 LEC. Según se afirma en la indicada resolución “en el presente caso, consta que la notificación se puso a disposición de las recurrentes en fecha 21 de junio de 2018 no accediendo al contenido hasta el 27 de julio de 2018 (fuera de los tres días que establece la normativa procesal), presentando los escritos de oposición a la ejecución en fecha 27 de agosto de 2018, claramente fuera del plazo legalmente establecido en el art. 556.1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denuncia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Aduce que siguió la literalidad de las instrucciones contenidas en un correo electrónico que recibió procedente del servicio de notificaciones electrónicas y accedió al contenido de la notificación dentro del plazo establecido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afirma que el órgano judicial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octubre de 2019, la Sección Tercera de este tribunal acordó admitir a trámite el recurso de amparo y dirigir comunicación al el Juzgado de Primera Instancia e Instrucción núm. 6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8 de noviembre de 2019, la parte demandante formuló sus alegaciones, en el cual reitera lo interesado en el otrosí de su demanda, con sustento en el ATC 287/2013, de 16 de diciembre, cuyo contenido parcialmente transcribe.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el 12 de noviembre del 2019. En síntesis, interesa que se acuerde la anotación preventiva de la demanda en el registro de la propiedad. Tras compendiar la doctrina constitucional relativa a la suspensión prevista en el art. 56 LOTC, sostiene que la solicitud de la medida de suspensión solo alude a la pérdida de finalidad del recurso, para el caso de que llegara a celebrarse la subasta, pero no ofrece ninguna razón que justifique esa pérdida de finalidad a que alude. Además, considera más eficaz la anotación preventiva de la demanda en el registro de la propiedad, medida mediante la cual se daría publicidad a terceros de la pendencia del recurso y se evitaría que un hipotético tercer adquirente del inmueble hipotecado quede especialmente protegido por su buena fe en la adquisición.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64-2018 seguido en el Juzgado de Primera Instancia e Instrucción núm. 6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pues la medida idónea es la anotación preventiva de la demanda en el registro de la propiedad.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el procedimiento se encuentra en la fase inicial una vez rechazada la oposición a la ejecución y que el inmueble sobre el que se sigue tal ejecución está constituido por una vivienda cuya situación posesoria no consta.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 Esta misma ha sido la solución acogida recientemente,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217/2012, de 26 de noviembre, FJ 2;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64-2018 seguido en el Juzgado de Primera Instancia e Instrucción núm. 6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