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177</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diciembre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2535-2019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2535-2019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362-2018 seguido en el Juzgado de Primera Instancia e Instrucción núm. 5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22 de abril de 2019, la procuradora de los tribunales doña Blanca Berriatua Horta, en representación de la entidad Euroinversiones Inmobiliarias Costa Sur, S.L., y bajo la dirección del letrado don Marcelino Gilabert García, interpuso recurso de amparo contra el auto del Juzgado de Primera Instancia e Instrucción núm. 5 de Lorca de 27 de febrero de 2019, por el que se desestima el recurso de reposición interpuesto contra el auto de 21 de septiembre de 2018, por el que se inadmite el escrito de oposición a la ejecución hipotecaria en el procedimiento de ejecución hipotecaria núm. 362-2018.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la suspensión del procedimiento de ejecución hipotecaria alegando que “la continuación de la ejecución derivada de los pronunciamiento judiciales que han sido objeto de impugnación, con la celebración de subasta y eventual adjudicación a terceros, pueden hacer perder al recurso de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de este Tribunal por sendas providencias el 28 de octubre de 2019, acordó, en la primera, entre otros aspectos, la admisión a trámite de la demanda de amparo y la formación de pieza separada para la sustanciación del incidente de suspensión; y, en la segunda, formar la oportuna pieza para la tramitación del incidente sobre suspensión y conceder al recurrente y al ministerio fiscal el plazo común de tres días para que alegasen lo que estimasen pertinente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registrado el 8 de noviembre de 2019, la entidad demandante presentó alegaciones reiterando su solicitud de suspensión, insistiendo en que con la celebración de la subasta y la eventual adjudicación a terceros o a la entidad ejecutante el recurso de amparo perdería su finalidad y le provocaría perjuicios patrimoniales de imposible o difícil reparación. También pone de manifiesto que la posible adjudicación del bien inmueble a terceros de buena fe conllevaría a situaciones irreversibles.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registrado el 15 de noviembre de 2019, presentó alegaciones interesando que se deniegue la suspensión, pero que se acuerde la anotación preventiva de la demanda de amparo, argumentando que la petición de suspensión del procedimiento ejecutivo no parece muy fundamentada y que el efecto protector deseado por la entidad demandante frente a la posible adjudicación a un tercero de buena fe del bien subastado se obtendría de manera mucho más eficaz mediante la anotación preventiva de la demanda de amparo en el registro de la propiedad.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parte de la recurrente en amparo y dirigida frente al procedimiento de ejecución hipotecaria núm. 362-2018 seguido en el Juzgado de Primera Instancia e Instrucción núm. 5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el carácter no reparable o la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25 de febrero, FJ 2; 74/2013, de 8 de abril, FJ 2; 152/2013, de 8 de julio, FJ 2; 37/2014, de 10 de febrero, FJ 2; 282/2014, de 17 de noviembre, FJ 3,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aquí planteado de la doctrina de la que se ha hecho mención permite concluir, de acuerdo con el fiscal, que resulta improcedente la suspensión solicitada y, por el contrario, aparece como medida idónea la anotación preventiva de la demanda de amparo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recurrente se limita a poner de manifiesto, genéricamente, que la eventual adjudicación a terceros puede hacer perder al recurso de amparo su finalidad, sin añadir indicación alguna sobre la situación y circunstancias de dicha entidad mercantil, como tampoco sobre las características, destino y estado posesorio del inmueble hipotecado. En tales circunstancias, no es posible afirmar que la continuación del curso del procedimiento judicial, incluso con un desplazamiento posesorio, provoque por sí solo un perjuicio determinante de la pérdida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se reputa medida idónea para evitar el perjuicio derivado de que la adquisición del bien por tercero lo hiciera irreivindicable; situación a la que se hace referencia en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misma ha sido la solución acogida recientemente, entre otros, en los AATC 106/2017, de 17 de julio, FJ 3; 88/2018, de 17 de septiembre, FJ 5, y 2/2019, de 9 de enero, FJ 4, así como en el ATC 85/2019, de 15 de julio, a propósito de otro procedimiento hipotecario seguido ante el Juzgado núm. 3 de Lorca, donde se plantearon los mismos argumentos que aquí para solicitar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de la Ley Orgánica del Tribunal Constitucional, puede adoptar de oficio o a instancia de parte, con fundamento en el art. 42.1 de la Ley hipotecaria, y que, de acuerdo con el ATC 95/2015, de 25 de mayo,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Nuestra decisión en esta materia se limita, en tal sentido, “a ordenar que se practique la anotación preventiva, remitiendo al órgano judicial la práctica de las actuaciones pertinentes para que pueda llevarse a efecto la medida, de conformidad con la legislación procesal e hipotecaria (AATC 257/2003, de 14 de julio; 406/2003, de 15 de diciembre; 230/2007, de 7 de mayo, FJ 3; 415/2007, de 5 de noviembre, FJ 4, y 217/2012, de 26 de noviembre, FJ 2)” (AATC 21/2018, de 5 de marzo, FJ 5, y 88/2018, de 17 de septiembre,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362-2018 seguido en el Juzgado de Primera Instancia e Instrucción núm. 5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diciembre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