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27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157-2019, promovido por don Jairo Larralde Bermúdez, representado por el procurador de los Tribunales don Argimiro Vázquez Senín y defendido por la letrada doña Susana López Mármol, contra la resolución de 3 de octubre de 2016, dictada por el secretario de Estado de Justicia, por delegación del ministro de Justicia, que desestimó la reclamación por responsabilidad patrimonial del Estado por prisión preventiva seguida de absolución; contra la sentencia de la Sección Tercera de la Sala de lo Contencioso-Administrativo de la Audiencia Nacional, de 5 de julio de 2018, que desestimó el recurso contencioso-administrativo interpuesto contra la anterior resolución (procedimiento ordinario núm. 99-2017); y contra la providencia de 13 de diciembre de 2018 dictada por la Sección Primera de la Sala de lo Contencioso-Administrativo del Tribunal Supremo por la que se inadmitió a trámite el recurso de casación. Ha sido parte el abogado del Estado, en la representación que ostenta, y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enero de 2019, el procurador de los Tribunales don Argimiro Vázquez Senín, en nombre y representación de don Jairo Larralde Bermúdez,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Jairo Larralde Bermúdez permaneció en prisión provisional desde el 2 de mayo al 12 de noviembre de 2012 como consecuencia de su inculpación, como presunto autor de un delito de daños mediante incendio, en las diligencias previas núm. 2098-2012, incoadas por el Juzgado de Instrucción núm. 7 de Zaragoza. Por sentencia del Juzgado de lo Penal núm. 4 de Zaragoza de 10 de octubre de 2014 se absolvió al ahora recurrente al estimar que no constaba acreditada su participación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10 de julio de 2015, don Jairo Larralde Bermúdez presentó ante el Ministerio de Justicia reclamación indemnizatoria por responsabilidad patrimonial del Estado por la vía del art. 294 de la Ley Orgánica del Poder Judicial (LOPJ) y solicitó una indemnización total 68.165,72 €.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Incoado el correspondiente procedimiento administrativo (expediente núm. 404-2015) y tras los preceptivos trámites, mediante resolución de 3 de octubre de 2016 del secretario de Estado de Justicia, dictada por delegación del ministro, se desestimó dicha reclamación de responsabilidad patrimonial del Estado. Considera esta resolución, en síntesis, que no se cumplen los requisitos establecidos en el art. 294 LOPJ “porque el motivo de la absolución no ha sido la constatación de la inexistencia del hecho delictivo de que fue acusado el reclamante, sino la falta de prueba de cargo, tal como se deduce del fundamento jurídico segundo de la sentencia absolutoria, cuando afirma: ‘En el presente caso, la única prueba de cargo contra el acusado Jairo Larralde consiste en la declaración de los coimputados, no coincidente además en algunos casos en cuanto a la participación del acusado en los diferentes hechos objeto de acusación, habiendo contradicciones entre ellos como puso de manifiesto el abogado de Jairo en el acto de juicio. Por otra parte, no hay ninguna corroboración externa que avale la participación del acusado Jairo en los hechos que se le imputan’. [...] ‘Por consiguiente, en atención a lo expuesto, aplicando el principio de presunción de inocencia, procede la absolución de Jairo Larralde Bermúdez’”.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dicha resolución el ahora recurrente interpuso recurso contencioso-administrativo, que fue tramitado como el procedimiento ordinario núm. 99-2017 por la Sección Tercera de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5 de julio de 2018, la Sección Tercera de la Sala de lo Contencioso Administrativo de la Audiencia Nacional dictó sentencia desestimando el recurso con imposición de costas al recurrente. Dicho fallo desestimatorio se funda en: (i) la doctrina de las sentencias de la Sala Tercera del Tribunal Supremo de 23 de noviembre de 2010 que efectúan una interpretación estricta del art. 294 LOPJ, en cuya virtud este precepto ampara exclusivamente los supuestos de inexistencia objetiva del hecho, sin perjuicio de la posibilidad de acudir a la vía general prevista en el art. 293 LOPJ para la reclamación de indemnización; y (ii) la constatación de que no se estaba ante un supuesto de inexistencia objetiva del hecho encuadrable en el art. 294 LOPJ, sino ante una absolución vinculada a la inexistencia de prueba de cargo suficiente para acreditar la participación del recurrente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por la representación procesal del demandante recurso de casación, se tuvo por preparado por auto de la Sección Tercera de la Sala de lo Contencioso-Administrativo de la Audiencia Nacional de 21 de septiembre de 2018. Elevadas las actuaciones a la Sala Tercera del Tribunal Supremo, el recurso fue inadmitido a trámite por providencia de la Sección Primera de dicha Sala de lo Contencioso-Administrativo de fecha 13 de diciembre de 2018. Esta resolución se fundó en: “1) falta de fundamentación suficiente de la concurrencia de los supuestos previstos en el art. 88.2 b) e i) y 88.3 a) y b) —en base a los cuales se articuló el escrito de preparación—, de los que se infiere un interés casacional objetivo y la necesidad de un pronunciamiento de esta Sala Tercera, sin que, en particular y respecto de los supuestos alegados de los arts. 88.3 a) y 88.3 b) se haya justificado el presupuesto para que opere la presunción incorporada al precepto, teniendo en cuenta los criterios jurisprudenciales ya sentados por esta Sala en la invocación de dichos supuestos, y, porque además, tal y como han sido planteados en preparación resultan contradictorios; y, 2) carencia de interés casacional objetivo para la formación de jurisprudencia en los términos en los que ha sido articulado el recurso, al referirse, sustancialmente, a cuestiones de hecho excluidas de la casación en virtud del artículo 87 bis.I LJCA, cuya apreciación y valoración en la instancia se discute en cuanto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impugnadas vulneran sus derechos fundamentales a la libertad (art. 17 CE), así como a la igualdad y a la tutela judicial efectiva, previstos en los arts. 14 y 24 CE. La demanda hace un repaso general sobre la responsabilidad patrimonial del Estado por prisión preventiva seguida de absolución, que incluye su regulación normativa, la jurisprudencia del Tribunal Supremo, los pronunciamientos del Tribunal Europeo de Derechos Humanos y los de este mismo Tribunal, para concluir agregando que se ha producido una vulneración del derecho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2019 la Sección Primera de este Tribunal acordó la admisión a trámite de la demanda de amparo presentada, “apreciando que concurre en el mismo una especial trascendencia constitucional (art. 50.1 LOTC) como consecuencia de que la posible vulneración del derecho fundamental que se denuncia pudiera provenir de la ley o de otra disposición de carácter general [STC 155/2009, FJ 2 c)]”, y, de conformidad con lo dispuesto en el art. 51 de la Ley Orgánica del Tribunal Constitucional (LOTC), dirigir atenta comunicación a la Sala de lo Contencioso-Administrativo de la Audiencia Nacional para que en el plazo de diez días remitiera certificación o fotocopia adverada de las actuaciones correspondientes al procedimiento ordinario núm. 99-2017, previo emplazamiento a quienes hubieran sido parte en tal procedimiento, excepto a la parte recurrente en amparo, para que en el plazo de diez días pudieran comparecer en el presente recurso. Al tiempo se acordó, por ser parte interesada la administración del Estado, notificar la providencia al abogado del Estado y emplazarle para que en diez días pudiera comparecer en este proceso constitucional, con traslado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este Tribunal de fecha 2 de septiembre de 2019, se acordó requerir atentamente al Tribunal Supremo para que en el plazo de diez días remitiera testimonio de las actuaciones correspondientes al recurso de casación núm. 5900-2018.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por diligencia de ordenación del secretario de Justicia de la Sección Primera de este Tribunal de fecha 6 de noviembre de 2019, se acordó tener por personado y parte en el procedimiento al abogado del Estado, en la representación que ostenta, ordenándose entender con él las sucesivas diligencias, y, con arreglo al art. 52 LOTC, conceder a las partes personadas y el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20 de noviembre de 2019 el ministerio fiscal presentó su escrito de alegaciones en el que termina solicitando que se acuerde la inadmisión del presente recurso y, subsidiariamente, se otorgue el amparo al haberse vulnerado el derecho fundamental del recurrente a la presunción de inocencia (art. 24.2 CE) y a la igualdad (art. 14 CE), se anulen las resoluciones administrativas y se retrotraigan las actuaciones al momento anterior al dictado de la resolución del secretario de Estado de Justicia de 3 de octubre de 2016 para que se resuelva la reclamación de responsabilidad patrimonial planteada en términos respetuosos con los derechos fundamentales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el recurrente, comienza el fiscal ante el Tribunal Constitucional poniendo de manifiesto la posible concurrencia de un óbice procesal. Así, somete a consideración del Tribunal la posibilidad de apreciar un defectuoso agotamiento de la vía judicial previa, conforme al art. 50.1 a) LOTC, en el caso de que se considere que el recurso de casación fue articulado con negligencia de parte, visto el tenor de la providencia de inadmisión de fecha 13 de diciembre de 2018. Recuerda que “de acuerdo con una reiterada y consolidada doctrina constitucional la vía judicial previa solo puede considerarse efectivamente agotada y, en consecuencia, abierta la del proceso constitucional de amparo, cuando los recursos jurisdiccionales pertinentes y útiles se hayan interpuesto en tiempo y forma, ya que si se formulan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111/2000, de 5 de mayo, FJ 4)”. Agrega que “no se han considerado agotados los recursos utilizables cuando la interposición adolece de irregularidades procesales que llevan a su inadmisión, ni tampoco cuando, una vez interpuestos, la inactividad de la parte provoca su desestimación, pues, a efectos del art. 44.1 a) LOTC, la frustración procesal de un recurso por causa imputable a la conducta del recurrente equivale a su no utilización (SSTC 11/1998, de 13 de enero, FJ 2; 92/1999, de 26 de mayo, FJ 2; 162/1999, de 27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para el supuesto de que no se considere concurrente la causa de inadmisión invocada, el fiscal argumenta que procede otorgar el amparo siguiendo lo resuelto en la STC 85/2019, de 19 de junio, que estimó la cuestión interna de inconstitucionalidad planteada por el Pleno en el ATC 79/2018, de 17 de julio, y declaró la inconstitucionalidad y nulidad de los incisos “por inexistencia del hecho imputado” y “por esta misma causa” del art. 294.1 LOPJ por vulneración del derecho a la igualdad y del derecho a la presunción de inocencia (arts. 14 y 24.2 CE), con los efectos indicados en su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 de diciembre de 2019, el recurrente, por medio de su representación procesal, presentó escrito en el que se remite a su demanda y hace mención de la STC 85/2019,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4 de diciembre de 2019 el abogado del Estado presentó su escrito de alegaciones en el que termina solicitando que se dicte sentencia conforme a Derecho y, en caso de ser estimatoria, se ordene la retroacción del expediente a la vía administrativa “a fin de que de acuerdo con lo que dispone el art. 294 de la LOPJ, y siguiendo siempre el cauce procedimental adecuado, se acrediten los daños y perjuicios que en su caso se hubieran podido llegar a producir al recurrente”. Se refiere a la STC 85/2019, de 19 de junio, dictada como resultado de un proceso de cuestión interna de inconstitucionalidad, sobre el posible desajuste o no con la Constitución del controvertido art. 294 LOPJ, y a otras dictadas con posterioridad en supuestos similares, como las de 13 de noviembre de 2019 (en los recursos de amparo núms. 424-2012 y 2052-2012).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enero de 2020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resolución de 3 de octubre de 2016 del secretario de Estado de Justicia, dictada por delegación del ministro, que rechazó la reclamación formulada por el recurrente de una indemnización en virtud de la responsabilidad patrimonial en que habría incurrido el Estado por la prisión preventiva sufrida por el mismo y seguida de su absolución, así como contra la sentencia de la Sección Tercera de la Sala de lo Contencioso-Administrativo de la Audiencia Nacional, de 5 de julio de 2018, que desestimó el recurso contencioso-administrativo (procedimiento ordinario núm. 99-2017) interpuesto contra la resolución administrativa precedente, y la providencia de 13 de diciembre de 2018 dictada por la Sección Primera de la Sala de lo Contencioso-Administrativo del Tribunal Supremo por la que se inadmitió a trámite el recurso de casación. Estas últimas se impugnan exclusivamente en cuanto que no habrían reparado las vulneraciones de los derechos fundamentales que se imputaban a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de esta sentencia han quedado expuestas con detalle las circunstancias relativas al proceso penal, al procedimiento administrativo que desembocó en la resolución administrativa desestimatoria de la reclamación, al igual que las referidas al proceso judicial promovido para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opuesto un óbice de admisibilidad que será examinado en primer lugar. Subsidiariamente interesa el otorgamiento del amparo. El abogado del Estado solicita el dictado de una sentencia conforme a Derecho y, para el caso que fuera estimatoria, que ordene la retroacción de las actuaciones a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Constitucional cuestiona la admisibilidad del recurso de amparo en cuanto que se habría producido un defectuoso agotamiento de la vía judicial previa, equivalente a la falta de agotamiento [art. 44.1 a) LOTC], según pone de manifiesto el contenido de la providencia de inadmisión del recurso de casación dictada por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de este Tribunal “el agotamiento defectuoso de la vía judicial equivale a su falta de agotamiento” (SSTC 111/2000, de 5 de mayo, FJ 4; 133/2001, de 13 de junio, FJ 2; 93/2002, de 22 de abril, FJ 3) pero solo, como aclaró el ATC 98/2010, de 21 de diciembre, FJ 6, cuando “la descuidada o errada conducta procesal del recurrente a la hora de cumplir con los requisitos de tiempo y forma legalmente exigidos” determine el fracaso de un recurso, en abstracto, idóneo para obtener la reparación del derecho fundamental a tutelar. Esto sucede cuando se interpone de modo extemporáneo (AATC 85/1983, de 23 de febrero; 215/1984, de 4 de abril; 205/1993, de 28 de junio; 31/1998, de 29 de enero, y, 229/2008, de 21 de julio; SSTC 64/1987, de 20 de mayo, FJ 3; 192/1992, de 16 de noviembre, FJ 3, y 114/2009, de 14 de mayo). Y también, aunque más matizadamente, cuando la inadmisión del recurso judicial se funda en el incumplimiento de alguno de los requisitos formales (SSTC 53/2000, de 18 de febrero, FJ 2; 111/2000, de 5 de mayo, FJ 4, y 133/2001, de 13 de junio, FJ 5; y ATC 229/2008, de 21 de julio, FJ 6). En todo caso, “el criterio decisivo a tener en cuenta es el comportamiento procesal del recurrente y, por tanto, un elemento de carácter subjetivo que no depende ya exclusiva ni principalmente de lo dispuesto en la legislación procesal” (ATC 98/2010,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al citado ATC 98/2010 hemos de puntualizar que el “incumplimiento de los requisitos procesales ha de ser siempre manifiesto e incontrovertible”; y que no cabe apreciar la falta de agotamiento en aquellos supuestos en los que el recurso resulta frustrado por no contener los escritos de preparación o interposición una fundamentación suficiente o adecuada de algún extremo que, como requisito procesal de acceso al recurso, previenen las normas procesales. Esta última matización, que impone una valoración en forma circunstanciada en cada caso, toma como punto de partida que “no es desde luego lo mismo prescindir lisa y llanamente de la correspondiente justificación que exponerla en forma infundada”, ni tampoco, “en este último caso, es jurídicamente indiferente el carácter grosero o simplemente discutible del carácter infundado de la justificación ofrecida” (FJ 7). Lo anterior, que aparecía referido específicamente en el mencionado auto a los requisitos relativos a “la exposición precisa y circunstanciada de la contradicción doctrinal entre la resolución recurrida y la seleccionada como término de contraste”, en el antiguo recurso de casación para la unificación de la doctrina, y a la justificación de que “la infracción de una norma estatal o comunitaria europea ha sido relevante y determinante del fallo” en el antes denominado recurso de casación común, resulta enteramente trasladable al requisito de justificación del interés casacional objetivo que impone el vigente artículo 89.2 f) de la Ley reguladora de la jurisdicción contencioso-administrativa (LJCA). Así lo ha entendido la reciente STC 121/2019, de 28 de octubre, que rechazó este óbice de defectuoso agotamiento en relación con el nuevo recurso de casación de la jurisdicción contencioso-administrativa introducido por la Ley Orgánica 7/2015,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121/2019 destacábamos, con cita del ATC 65/2018 de 18 de junio, FJ 5, la atribución legal al Tribunal Supremo de un amplio margen de apreciación sobre la concurrencia o no del interés casacional objetivo para la formación de la jurisprudencia así como para valorar si el escrito de preparación satisface el requisito que impone el art. 89.2 f) LJCA, “en el que exige que se ‘justifique cuidada y rigurosamente el interés casacional objetivo del recurso que revela la circunstancia invocada’ (ATS de 15 de marzo de 2017, recurso de casación 93-2017)”. Tomando en consideración que la sala de instancia había dictado auto motivado en el que tuvo por preparado el recurso de casación al apreciar que cumplía con el plazo y con los requisitos de forma establecidos en el art. 89.2 LJCA y que el Tribunal Supremo estimó, sin embargo, que el escrito de preparación no fundamentó debidamente la concurrencia de alguno o algunos de los supuestos que permiten apreciar el interés casacional objetivo, circunstancias que también concurren en el presente caso, resolvimos que, a los efectos del óbice procesal que nos ocupa, la inadmisión del recurso no podía atribuirse de forma clara e inequívoca a la falta de diligencia de la parte (fundamento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en este caso la sala de instancia tuvo por preparado el recurso de casación al apreciar que el escrito de preparación se interpuso en plazo y cumplía con los requisitos de forma que establece el art. 89.2 LJCA, mientras que el Tribunal Supremo consideró que dicho escrito contenía una justificación insuficiente —que no inexistente— de un interés casacional objetivo. Añadió, además, una segunda causa de inadmisión consistente en la carencia de ese interés casacional objetivo para la formación de jurisprudencia. De todo esto se ha dejado constancia detallada en el apartado de antecedentes de esta sentencia. En tales circunstancias, no es posible estimar que la inadmisión del recurso de casación obedeciera a un defecto procesal manifiesto e incontrovertible o, dicho de otro modo, fuera atribuible de forma clara e inequívoca a la falta de diligencia de la parte, razón por la que procede considerar debidamente agotada la vía judicial previa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Resuelta la admisibilidad del recurso de amparo, cabe señalar que 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 En concreto, en su fundamento jurídico 4 se determinaron los efectos sobre el recurso de amparo de la declaración de inconstitucionalidad de los incisos “por inexistencia del hecho imputado” y “por esta misma causa” del art. 294.1 LOPJ por la STC 85/2019, de 19 de junio,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3 de octubre de 2016,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Jairo Larralde Bermúdez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providencia de 13 de diciembre de 2018 dictada por la Sección Primera de la Sala de lo Contencioso-Administrativo del Tribunal Supremo por la que se inadmitió a trámite el recurso de casación, de la sentencia de la Sección Tercera de la Sala de lo Contencioso-Administrativo de la Audiencia Nacional, de 5 de julio de 2018, dictada en el recurso contencioso-administrativo núm. 99-2017, y de la resolución del secretario de Estado de Justicia de 3 de octubre de 2016, recaída en el expediente núm. 404-2015.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