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4795-2017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4795-2017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noviembre de 2018, la procuradora de los tribunales doña Patricia Gómez Martínez, en nombre y representación de don Alfredo Ballesteros Ainsa, y bajo la dirección del letrado don Julio de Santa Ana Campillo, interpuso recurso de amparo contra el auto del Juzgado de Primera Instancia núm. 14 de Sevilla de 27 de julio de 2017, por el que se inadmite el incidente de nulidad de actuaciones interpuesto contra el auto de 1 de junio de 2017, por el que se acuerda mantener la resolución de la Comisión de Asistencia Jurídica Gratuita denegando el reconocimiento del derecho a la asistencia jurídica gratuita en el procedimiento de impugnación 189-2017.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del auto judicial impugnado “a fin de impedir la efectividad de la pretensión de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25 de noviembre de 2019,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19 de diciembre de 2019, presentó alegaciones interesando que se deniegue la suspensión, ya que el demandante no solo no aporta un principio razonable de prueba del presunto perjuicio irreparable sino que solicita la suspensión sin explicitar ninguna razón de los eventuales perjuicios que le produciría la no suspensión del auto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10 de diciembre de 2019, presentó alegaciones reiterando su solicitud de suspensión, insistiendo en la irreparabilidad de los derechos fundamentales afectados pues “se sigue perpetuando la injusticia manifestada objeto del amparo”, que el amparo perdería así su finalidad y que la suspensión no va a producir perturbaciones graves.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consistente en que se suspenda la ejecución de una decisión judicial por la que se confirma la denegación del derecho de asistencia jurídica gratuita fundamentada en la insostenibilidad de la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(así,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no suspensión de la decisión judicial de confirmar la denegación del derecho a la asistencia jurídica gratuita por insostenibilidad de la pretensión le causaría un perjuicio irreparable al seguirse perpetuando la lesión del derecho fundamental invocado, pero, sin añadir ninguna otra consideración sobre la eventual afectación a cualquier otro interés personal que pudiera estar ventilándose en el procedimiento judicial subyacente. En tales circunstancias, no es posible afirmar que el mantenimiento de la situación de denegación del derecho de asistencia gratuita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suspensión de la decisión judicial impugnada implicaría el reconocimiento del derecho a la asistencia jurídica gratuita, lo que, por su propia naturaleza, supondría no solo un otorgamiento anticipado del recurso de amparo, contrario a reiterada jurisprudencia constitucional (ATC 55/2019, de 3 de junio, FJ 2); sino desconocer elementales exigencias de subsidiariedad ya que, en atención a las vulneraciones alegadas, que quedan limitadas a garantías procedimentales en el proceso de reconocimiento de este derecho a la asistencia jurídica gratuita, pero no a sus requisitos sustantivos, incluso una eventual estimación del amparo tendría como único efecto, tal como ha solicitado el demandante, la retroacción de las actuaciones para un nuevo pronunciamiento sobre el reconocimiento de ese derecho, pero no el reconocimiento directo del derecho a la asistencia jurídica gratuita, que es lo que se pretende obtener en esta pieza de suspensión por parte del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