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enero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3099-2019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3099-2019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70-2018 seguido en el Juzgado de Primera Instancia e Instrucción núm. 6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16 de mayo de 2019, tuvo entrada en el registro general de este Tribunal Constitucional un escrito de la procuradora doña Blanca Berriatua Horta, en representación de la entidad Euroinversiones Inmobiliarias Costa Sur, S.L., por el que interpuso recurso de amparo contra el auto de 17 de septiembre de 2018 del Juzgado de Primera Instancia e Instrucción núm. 6 de Lorca, que inadmitió el escrito de oposición a la ejecución hipotecaria promovida por Banco de Sabadell, S.A.; y contra el auto del mismo juzgado, de 8 de abril de 2019, que desestimó el recurso de reposición interpuesto contra la anterior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la resolución de esta pieza de suspensión,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 fecha 17 de septiembre de 2018, el Juzgado de Primera Instancia e Instrucción núm. 6 de Lorca dictó un auto en el procedimiento de ejecución hipotecaria núm. 70-2018 por el que acordó: “Inadmitir a trámite la oposición formulada por la parte ejecutada Euroinversiones Inmobiliarias Costa Sur, S.L., y Penrei Inversiones, S.L., […] por presentación fuera de plazo, contra Banco Sabadell, S.A.”, advirtiendo en pie de recurso que contra dicha resolución cabía recurso de reposición.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basó su decisión, conforme a su fundamento de Derecho único, en lo siguiente: “Se establece en el artículo 134 de la Ley de enjuiciamiento civil: (LEC), la improrrogabilidad de los plazos establecidos en la misma, y en el artículo 136 LEC, que transcurrido o pasado el término señalado para la realización de un acto procesal de parte se producirá la preclusión y se perderá la oportunidad de realizar el acto de que se trate, y previniéndose en el artículo 695 LEC, que el escrito de oposición a la ejecución deberá ser presentado en el plazo de los diez días siguientes a la notificación del auto y del decreto y constando en el presente supuesto que la parte ejecutada se ha opuesto pasado que ha sido el plazo que legalmente se le otorga, debe ser inadmitida su oposición por extemporánea, de conformidad con lo establecido en los preceptos citados”.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Formalizado contra dicho auto recurso de reposición por la entidad aquí demandante de amparo, el juzgado a quo dictó auto el 8 de abril de 2019 desestimándolo, con confirmación de la resolución recurrida, en virtud de los motivos expresados en su razonamiento jurídico segundo: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consta que la notificación se puso a disposición de las recurrentes en fecha 21 de junio de 2018, no accediéndose al contenido hasta el día 2 de agosto de 2018 respecto de Euroinversiones y el 27 de julio de 2018 respecto de Penrei (fuera de los tres días que establece la normativa procesal), presentando los escritos de oposición a la ejecución en fecha 29 de agosto de 2018, claramente fuera del plazo legalmente establecido en el art. 556. 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que se trate, es claro que dichas oposiciones son extemporáneas siendo la consecuencia legal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traía el siguiente pie de recurso: “Notifíquese esta resolución a las partes personadas, haciéndoles [sic] que es firme, y contra la misma no cabe recurso alguno”.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alega que las resoluciones judiciales impugnadas causan la vulneración de los derechos a la tutela judicial efectiva (art. 24.1 CE) y a un proceso con todas las garantías (art. 24.2 CE) de la entidad recurrente, al haberse efectuado su emplazamiento como ejecutada en el procedimiento hipotecario de referencia, a través de un correo electrónico remitido por un servicio de notificaciones electrónicas, tratándose de su primer emplazamiento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reconoce que si bien la recurrente, por ser una persona jurídica, viene por ello obligada a relacionarse con la administración de justicia a través de medios electrónicos, no obstante cuando es el primer emplazamiento y por tanto todavía aquella “no ha tenido ninguna relación con el juzgado correspondiente en este especial y concreto procedimiento”, ha de practicarse mediante cédula con entrega en papel de la documentación correspondiente, conforme establece el art. 273 LEC, en relación con los arts. 135, 152, 162 y 155 de la misma LEC. Este último, precisa, “es categórico al respecto ya que en su punto primero nos indica que cuando las partes no actúen representadas por procurador o se trate del primer emplazamiento o citación al demandado, los actos de comunicación se harán por remisión al domicilio de los litigantes”. Añade que incluso la notificación realizada tampoco cumple con las formalidades de las comunicaciones electrónicas. Pese a todo esto, el auto dictado por el juzgado el 17 de septiembre de 2018 declaró extemporánea la presentación del escrito de oposición, computando el plazo de diez días desde la fecha de envío de aquel correo a través de la dirección electrónica habilitada.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el auto del 8 de abril siguiente que desestimó la reposición, se rechaza por la recurrente que haya fundamentado su decisión en la ley de procedimiento administrativo común, “que consideramos inaplicable al ámbito procesal civil, puesto que además de existir normas concretas al respecto, no se dan en uno y otro ámbito las mismas garantías procedimentales”; siendo que en materia de notificación de actos procesales existe su propia normativa tanto en la Ley de enjuiciamiento civil —los artículos arriba citados—, como en el haz de garantías del propio art.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se solicita que este Tribunal Constitucional, con estimación del amparo, acuerde la nulidad de ambas resoluciones judiciales y ordene reponer las actuaciones al momento previo al dictado de la primera de aquellas, a fin de que el juzgado a quo admita a trámite la “demanda de oposición al despacho de ejecución formulada por mi representada”.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medio de un “segundo otrosí digo”, el escrito de demanda argumentó “que la continuación de la ejecución derivada de los pronunciamientos judiciales que han sido objeto de impugnación, con la celebración de subasta y la eventual adjudicación a terceros, pueden hacer perder al recurso de amparo su finalidad, por lo que solicito la suspensión de la continuación del procedimiento de ejecución hipotecaria 70-2018 seguido ante el Juzgado de Primera Instancia e Instrucción núm. 6 de Lorca, hasta tanto sea resuelto el presente recurso de amparo, poniéndolo en conocimiento del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Sala Segunda, Sección Cuarta, de este Tribunal Constitucional, dictó providencia el 25 de noviembre de 2019 del siguiente tenor: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Sección Cuarta ha examinado el recurso de amparo y ha acordado admitirlo a trámite, apreciando que concurre en el mismo una especial trascendencia constitucional (art. 50.1 LOTC) porque el recurso plantea un problema o afecta a una faceta de un derecho fundamental sobre el que no hay doctrina de este Tribunal [STC 155/2009, FJ 2 a)], y porque puede dar ocasión al Tribunal para aclarar o cambiar su doctrina, como consecuencia de cambios normativos relevantes para la configuración del contenido del derecho fundamental [STC 155/2009, FJ 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en aplicación de lo dispuesto en el art. 51 LOTC, obrando ya testimonio de las correspondientes actuaciones, diríjase igualmente atenta comunicación al Juzgado de Primera Instancia e Instrucción núm. 6 de Lorca, a fin de que, en plazo que no exceda de diez días, se proceda a emplazar a quienes hubieran sido parte en el procedimiento, excepto la parte recurrente en amparo, para que en el plazo de diez días puedan comparecer, si lo desean,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la solicitud de la parte actora, fórmese la correspondiente pieza separada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nueva providencia dictada por la Sección Cuarta de este Tribunal en la misma fecha de la admisión del recurso, el 25 de noviembre de 2019, se dispuso “formar con la precedente fotocopia, la oportuna pieza para la tramitación del incidente sobre suspensión y conforme determina el artículo 56 de la Ley Orgánica de este Tribunal, conceder un plazo común de tres días a la parte recurrente y al Ministerio Fiscal para que aleguen lo que estimen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la entidad recurrente presentó su escrito de alegaciones con fecha 3 de diciembre de 2019, interesando se acceda a lo solicitado en cuanto a la suspensión del procedimiento de ejecución hipotecaria referido.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alega que la continuación de tal procedimiento, “con la celebración de subasta y la eventual adjudicación a terceros harían perder al recurso de amparo su finalidad y provocarían perjuicios patrimoniales para mi representada de imposible o difícil reparación”. Invoca a su favor lo resuelto por este Tribunal en su ATC 287/2013, de 16 de diciembre, reiterando a renglón seguido las vulneraciones constitucionales de fondo que aduce en su demanda, e indicando que de celebrarse la subasta y la posible adjudicación del bien inmueble a terceros de buena fe, con “desposesión del bien ejecutado, conllevaría a situaciones irreversibles, con un inevitable perjuicio para mi representada”.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su parte, el fiscal ante este Tribunal Constitucional formalizó su escrito de alegaciones en esta pieza el 11 de diciembre de 2019, interesando que se adopte únicamente la medida de anotación preventiva de la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hacer cita del art. 56.2 de la Ley Orgánica del Tribunal Constitucional (LOTC) y reproducir lo declarado en el ATC 127/2015, de 20 de julio, FJ 1, en relación con la necesidad de acreditar por el interesado la existencia de un perjuicio irreparable, para poder acordarse la suspensión de los actos impugnados en amparo, sostiene el fiscal que en el presente caso, “para conseguir el efecto protector deseado por la recurrente y enervar los indeseados efectos de la paralización del procedimiento que por su propia naturaleza goza de las características de celeridad y sumariedad, se puede acordar la anotación preventiva de la demanda de amparo en el registro de la propiedad, ya que de esta manera se daría publicidad frente a terceros de la pendencia del recurso, lo que conlleva el conocimiento de los efectos que sobre la titularidad de la vivienda puede tener el otorgamiento del amparo en su caso, evitando que el hipotético adquirente queda especialmente protegido por su buena fe en la adquisición”. Cita en apoyo de su petición el art. 56.3 LOTC, que permite al Tribunal adoptar toda medida que evite que el recurso de amparo pueda perder su finalidad, así como el ATC 2/2019, de 9 de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Insiste finalmente en que es procedente la medida de anotación preventiva, pues “de no adoptarse la medida de anotación preventiva de la demanda, la tutela que pudiera otorgarse por este tribunal no sería completa si se deja abierta la posibilidad de que la finca sea transmitida a un tercero de buena fe mientras se sustancia y resuelve el presente proceso de amparo, por lo que se interesa la anotación preventiva de la demanda en el registro de la propiedad evitando, así, situaciones cuya reversibilidad sería […] imposible”.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medida cautelar instada por la parte recurrente en amparo y dirigida frente al procedimiento de ejecución hipotecaria núm. 70-2018 seguido en el Juzgado de Primera Instancia e Instrucción núm. 6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razón por la que se configura como una medida de carácter excepcional y de aplicación restrictiva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el carácter no reparable o la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90/2014, de 27 de marzo, FJ 1; 190/2015, de 5 de noviembre, FJ 2 a); 59/2017, de 24 de abril, FJ 1, y 147/2017, de 13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de la que son buena muestra, entre otros muchos, los AATC 220/2008, de 14 de julio, FJ 2, y 64/2009, de 23 de febrero, FJ 2, o los más recientes AATC 56/2013, de 25 de febrero, FJ 2; 74/2013, de 8 de abril, FJ 2; 152/2013, de 8 de julio, FJ 2; 37/2014, de 10 de febrero, FJ 2; 282/2014, de 17 de noviembre, FJ 3, y 59/2015, de 16 de marzo,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aquellos,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de la que se ha hecho mención permite concluir, de acuerdo con el fiscal, que resulta improcedente la suspensión solicitada y, por el contrario, aparece como medida idónea la anotación preventiva de la demanda de amparo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recurrente se limita a poner de manifiesto, genéricamente, que la eventual adjudicación a terceros puede hacer perder al recurso de amparo su finalidad, sin añadir indicación alguna sobre la situación y circunstancias de dicha entidad mercantil, como tampoco sobre las características, destino y estado posesorio del inmueble hipotecado. En tales circunstancias, no es posible afirmar que la continuación del curso del procedimiento judicial, incluso con un desplazamiento posesorio, provoque por sí solo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se reputa medida idónea para evitar el perjuicio derivado de que la adquisición del bien por tercero lo hiciera irreivindicable; situación a la que se hace referencia en la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misma ha sido la solución acogida recientemente, entre otros, en los AATC 106/2017, de 17 de julio, FJ 3; 88/2018, de 17 de septiembre, FJ 5, y 2/2019, de 9 de enero,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y que, de acuerdo con el ATC 95/2015, de 25 de mayo,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Nuestra decisión en esta materia se limita, en tal sentido, “a ordenar que se practique la anotación preventiva, remitiendo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 [AATC 21/2018, de 5 de marzo, FJ 5, y 88/2018, de 17 de septiembre,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70-2018 seguido en el Juzgado de Primera Instancia e Instrucción núm. 6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enero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