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3541-2019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382-2018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6 de junio de 2019, tuvo entrada en el registro general de este Tribunal Constitucional un escrito de la procuradora doña Blanca Berriatua Horta, en representación de la entidad Penrei Inversiones, S.L., por el que interpuso recurso de amparo contra el auto de 21 de septiembre de 2018 del Juzgado de Primera Instancia e Instrucción núm. 5 de Lorca, que inadmitió el escrito de oposición a la ejecución hipotecaria promovida por Banco de Sabadell, S.A.; y contra el auto del mismo juzgado, de 23 de abril de 2019, que desestimó el recurso de reposición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21de septiembre de 2018, el Juzgado de Primera Instancia e Instrucción núm. 5 de Lorca dictó un auto en el procedimiento de ejecución hipotecaria núm. 382-2018 por el que acordó: “Inadmitir a trámite la oposición formulada por la parte ejecutada Penrei Inversiones, S.L., y Euroinversiones Inmobiliarias Costa Sur, S.L., […] por estar presentada fuera de plazo, contra Banco Sabadell, S.A.”,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establece en el artículo 134 de la Ley de enjuiciamiento civil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LEC, que la parte ejecutada puede oponerse al despacho de ejecución en los términos de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23 de abril de 2019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consta que la notificación se puso a disposición de las recurrentes en fecha 13 de junio de 2018 no accediendo al contenido hasta el día 24 de julio de 2018 (fuera de los tres días que establece la normativa procesal), presentando los escritos de oposición a la ejecución en fecha 31 de julio de 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“Notifíquese esta resolución a las partes personadas, haciéndoles [sic] que es firme, y contra la misma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aquélla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21 de septiembre de 2018 declaró extemporánea la presentación del escrito de oposición, computando el plazo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del 23 de abril siguiente que desestimó la reposición, se rechaza por la recurrente que haya fundamentado su decisión en la ley de procedimiento administrativo común, “que consideramos inaplicable al ámbito procesal civil, puesto que además de existir normas concretas al respecto, no se dan en uno y otro ámbito las mismas garantías procedimentales”; siendo que en materia de notificación de actos procesales existe su propia normativa tanto en la Ley de enjuiciamiento civil —los artículos arriba citados—, como en el haz de garantías del propio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el Tribunal Constitucional, con estimación del amparo, acuerde la nulidad de ambas resoluciones judiciales y ordene reponer las actuaciones al momento previo al dictado de la primera de aquéllas, a fin de que el juzgado a quo admita a trámite la “demanda de oposición al despacho de ejecución formulada por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382-2018 seguido ante el Juzgado de Primera Instancia e Instrucción núm. 5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25 de noviembre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plantea un problema o afecta a una faceta de un derecho fundamental sobre el que no hay doctrina de este Tribunal [STC 155/2009, FJ 2 a)], y porque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obrando ya testimonio de las correspondientes actuaciones, diríjase igualmente atenta comunicación al Juzgado de Primera Instancia e Instrucción número 5 de Lorca, a fin de que, en plazo que no exceda de diez días, se proceda a emplazar a quienes hubieran sido parte en el procedimiento, excepto la parte recurrente en amparo, para que en el plazo de diez días puedan comparecer, si lo desean,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el 25 de noviembre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entidad recurrente presentó su escrito de alegaciones con fecha 3 de diciembre de 2019,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harían perder al recurso de amparo su finalidad y provocarían perjuicios patrimoniales para mi representada de imposible o difícil reparación”. Invoca a su favor lo resuelto por este Tribunal en su ATC 287/2013, de 16 de diciembre, reiterando a renglón seguido las vulneraciones constitucionales de fondo que aduce en su demanda, e indicando que de celebrarse la subasta y la posible adjudicación del bien inmueble a terceros de buena fe, con “desposesión del bien ejecutado, conllevaría a situaciones irreversibles, con un inevitable perjuicio para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ante este Tribunal Constitucional formalizó su escrito de alegaciones en esta pieza el 10 de diciembre de 2019,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sintéticamente la doctrina general del Tribunal Constitucional sobre el carácter excepcional y la aplicación necesariamente restrictiva de la medida de suspensión de las resolución impugnada en amparo, considera que “en el presente caso, la petición de suspensión del procedimiento no parece muy fundamentada por la propia recurrente, ya que se limita a la mera petición sin explicitar ninguna razón salvo la mera pérdida de finalidad del recurso en el caso de que llegara a celebrarse la subasta de los bienes inmuebles en conflicto y su adjudicación a un tercero que actuaría de buena fe”. Añade el fiscal que “[a]cordar la suspensión comportaría la drástica medida que supondría la paralización del procedimiento ejecutivo, que por su propia naturaleza goza de las características de celeridad y sumariedad”. Considera por ello “[m]ucho más eficaz para conseguir el efecto protector deseado por la recurrente” acordar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 amparo en su caso, evitando que el hipotético tercero adquirente qued[e] especialmente protegido por su buena fe en la adquisición”. Con cita del ATC 95/2015, de 25 de mayo, estima el fiscal que el propio Tribunal Constitucional ha admitido la posibilidad de adoptar este tipo de tutela cautelar en casos similares, al amparo del art. 56.3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fiscal que “la aplicación al caso de la doctrina reseñada nos debe llevar a considerar que nos encontramos en uno de esos supuestos en que tratándose de una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382-2018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382-2018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