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353-2018,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5 de Lorca en el procedimiento de ejecución hipotecaria núm. 353-2018, en fechas 21 de septiembre de 2018 y 23 de abril de 2019, por los que, respectivamente, se inadmite por extemporánea la oposición a la ejecución hipotecaria formulada por la recurrente y se desestima el recurso de reposición interpuesto contra la primera de las resoluciones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 considerar que “la continuación de la ejecución derivada de los pronunciamiento judiciales que han sido objeto de impugnación, con la celebración de subasta y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26 de noviembre de 2019, la Sección Tercera de este Tribunal acordó admitir a trámite el recurso de amparo y, a su vez, dirigir comunicación al Juzgado de Primera Instancia e Instrucción núm. 5 de Lorca, a fin de que, en el plazo de diez días, remitiera certificación o fotocopia adverada de las actuaciones correspondientes a los autos de ejecución hipotecaria núm. 353-2018 y emplazara a quienes hubieran sido parte en el proceso del que trae causa el presente recurso de amparo, excepto a la parte recurrente en amparo, para que pudieran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misma fecha, la referida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7 de diciembre de 2019, la parte demandante formuló sus alegaciones, en el cual reitera lo interesado en el otrosí de su demanda, con sustento en el ATC 287/2013, de 16 de diciembre, cuyo contenido parcialmente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17 de diciembre del 2019. En síntesis, interesa que se acuerde la anotación preventiva de la demanda en el registro de la propiedad. Tras compendiar la doctrina constitucional relativa a la suspensión prevista en el art. 56 LOTC, sostiene que la solicitud de la medida de suspensión solo alude a la pérdida de finalidad del recurso, para el caso de que llegara a celebrarse la subasta, pero no ofrece ninguna razón que justifique esa pérdida de la finalidad a que se refiere. Además, el fiscal considera más eficaz la anotación preventiva de la demanda en el registro de la propiedad, medida mediante la cual se daría publicidad a terceros de la pendencia del recurso y se evitaría que un hipotético tercer adquirente del inmueble hipotecado quede especialmente protegido por su buena fe en la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353-2018,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pues la medida idónea es la anotación preventiva de la demanda en el registro de la propiedad. La parte recurrente se limita a poner de manifiesto, genéricamente, que la eventual adjudicación a terceros puede hacer perder al recurso de amparo su finalidad, sin añadir indicación alguna sobre la situación y circunstancias de la entidad mercantil recurrente ni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 Esta misma ha sido la solución acogida recientemente, entre otros, en los AATC 2/2019, de 9 de enero, 88/2018, de 17 de septiembre, y 106/2017, de 17 de julio, así como en el ATC 85/2019, de 15 de julio, a propósito de otro procedimiento hipotecario seguido ante el Juzgado núm. 3 de Lorca, en el que se plantearon los mismos argumentos para solicitar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en su lugar,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353-2018,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