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3538-2019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392-2018,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junio de 2019, la entidad Penrei Inversiones, S.L., representada por la procuradora de los tribunales doña Blanca Berriatua Horta y bajo la dirección de la letrada doña Anju Nirmala Benavent Rodríguez, interpuso recurso de amparo contra los autos de 21 de septiembre de 2018 y de 23 de abril de 2019, dictados por el Juzgado de Primera Instancia e Instrucción núm. 5 de Lorca, en el procedimiento de ejecución hipotecaria núm. 392-2018,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392-2018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43.242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6 de junio de 2018 se acordó despachar ejecución frente las sociedades demandadas por la cantidad de 2.248,32 € de principal y 2.400 € presupuestados inicialmente para intereses y costas. El citado auto y el decreto de la misma fecha que le sigue fueron comunicados a las citadas sociedades a través de la sede judicial electrónica el día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con fecha 31 de julio de 2018. Por auto de 21 de septiembre de 2018 se acordó su inadmisión por considerar la pretensión extemporánea, tomando como fecha de notificación el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13 de junio de 2018, sino el 24 de julio siguiente, fecha en la que accedió a la web y procedió a su descarga, y que la comunicación remitida a través de la dirección electrónica habilitada no puede entenderse más que un aviso de puesta a disposición o descarga de su contenido durante un plazo determinado (en el caso desde el 13 de junio hasta el 24 de julio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23 de abril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273.3 LEC. Según el auto, en el presente caso “consta que la notificación se puso a disposición de las recurrentes en fecha 13 de junio de 2018, no accediendo al contenido hasta el día 24 de julio de 2018 (fuera de los tres días que establece la normativa procesal), presentando los escritos de oposición a la ejecución en fecha 31 de julio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enero de 2020 la Sección Segunda de este Tribunal acordó admitir a trámite el recurso de amparo y dirigir comunicación al Juzgado de Primera Instancia e Instrucción núm. 5 de Lorca, a fin de que, en plazo que no exceda de diez días emplace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3 de febrero de 2020 la parte demandante formuló sus alegaciones, reiterando lo expuesto en el otrosí de su demanda y trascribiendo como fundamento de su pretensión lo expresado en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11 de febrero de 2020, el ministerio fiscal se opuso a la pretendida suspensión del procedimiento de ejecución hipotecaria, e interesó que, alternativamente, se acuerde la anotación preventiva de la demanda de amparo en el registro de la propiedad, aunque esta última medida no haya sido solicitada en el recurso. Tras exponer la doctrina de este Tribunal sobre suspensión de resoluciones y actos impugnados, aduce que en el presente caso la petición del demandante no parece muy fundada, sostiene que acordar la suspensión comportaría la paralización del procedimiento ejecutivo, que por su propia naturaleza goza de las características de celeridad y sumariedad. Considera mucho más eficaz la anotación preventiva de la demanda en el registro de la propiedad, pues a través de dicha medida cautelar es posible evitar que un hipotético tercer adquirente del inmueble hipotecado, en virtud de su buena fe registral, quede especialmente protegido, perjudicando así los intereses concernidos.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392-2018,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FJ 1; 147/2017, de 13 de noviembre, FJ 1, y 177/2019,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282/2014, de 17 de noviembre, FJ 4; 59/2015, de 16 de marzo, FJ 2, y 177/2019,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(AATC 81/2019, de 15 de julio, 148, 155/2019 y 156/2019, de 25 de noviembre, FFJJ 3; y 170/2019, 171/2019, 173/2019, 174/2019, y 177/2019, de 16 de diciembre, FFJJ 3),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al solicitarse el amparo el procedimiento se encontraba en la fase inicial, una vez rechazada la oposición a la ejecución. En tales circunstancias no es posible afirmar que la continuación del curso del procedimiento judicial, incluso si se produjera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 Esta misma ha sido la solución acogida recientemente, entre otros, en los AATC 148/2019, 155/2019, y 156/2019, FFJJ 3, y 170/2019, 171/2019, 173/2019, 174/2019, y 177/2019, FFJJ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hicimos en el fundamento tercero de los mencionados autos, 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392-2018,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