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6089-2019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6089-2019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365-2018,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25 de octubre de 2019 tuvo entrada en el registro general del Tribunal Constitucional un escrito de la procuradora de los tribunales doña Blanca Berriatua Horta, en representación de la entidad Euroinversiones Inmobiliarias Costa Sur, S.L., por el que interpuso recurso de amparo contra el auto de 10 de septiembre de 2019 del Juzgado de Primera Instancia e Instrucción núm. 5 de Lorca, que desestima el recurso de reposición interpuesto por la ahora actora frente al auto de 21 de septiembre de 2018, que inadmitió por extemporánea la demanda de oposición presentada en el seno de la ejecución hipotecaria 365-2018, promovida por Banco de Sabadell,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21 de septiembre de 2018, el Juzgado de Primera Instancia e Instrucción núm. 5 de Lorca dictó un auto en el procedimiento de ejecución hipotecaria núm. 365-2018 por el que acordó: “Inadmitir a trámite la oposición formulada por la parte ejecutada Euroinversiones Inmobiliarias Costa Sur, S.L.”, advirtiendo en pie de recurso que contra dicha resolución cabía recurso de reposición.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basó su decisión, conforme a su fundamento de Derecho único, 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establece en el artículo 134 de la L.E.C., la improrrogabilidad de los plazos establecidos en la misma, y en el artículo 136 de la L.E.C., que transcurrido o pasado el término señalado para la realización de un acto procesal de parte se producirá la preclusión y se perderá la oportunidad de realizar el acto de que se trate.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Establece el artículo 695 de la L.E.C., que la parte ejecutada puede oponerse al despacho de ejecución en los términos de dicho artículo y en el plazo de díez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Formalizado contra dicho auto recurso de reposición por la entidad aquí demandante de amparo, el juzgado a quo dictó auto el 10 de septiembre de 2019 desestimándolo, con confirmación de la resolución recurrida, en virtud de los motivos expresados en su razonamiento jurídico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consta que la notificación se puso a disposición de las recurrentes en fecha 13 de junio de 2018 no accediendo al contenido hasta el día 24 de julio de 2018 (fuera de los tres días que establece la normativa procesal), presentando los escritos de oposición a la ejecución en fecha 3 de septiembre de 2018 claramente fuera del plazo legalmente establecido en el art. 556. 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traía el siguiente pie de recurso: “Notifíquese esta resolución a las partes personadas, haciéndoles saber que es firme, y contra la misma no cabe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causan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tratándose de su primer emplazamiento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reconoce que, si bien la recurrente, por ser una persona jurídica, viene por ello obligada a relacionarse con la administración de justicia a través de medios electrónicos, no obstante cuando es el primer emplazamiento y, por tanto, todavía aquélla “no ha tenido ninguna relación con el juzgado correspondiente en este especial y concreto procedimiento”, ha de practicarse mediante cédula con entrega en papel de la documentación correspondiente, conforme establece el art. 273 LEC, en relación con los arts. 135, 152, 162 y 155 de la misma LEC. Este último, precisa, “es categórico al respecto ya que en su punto primero nos indica que cuando las partes no actúen representadas por procurador o se trate del primer emplazamiento o citación al demandado, los actos de comunicación se harán por remisión al domicilio de los litigantes”. Añade que incluso la notificación realizada tampoco cumple con las formalidades de las comunicaciones electrónicas. Pese a todo esto, el auto dictado por el juzgado el 21 de septiembre de 2018 declaró extemporánea la presentación del escrito de oposición, computando el plazo de diez días desde la fecha de envío de aquel correo a través de la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auto de 21 de septiembre de 2019, que desestimó la reposición, se rechaza por la recurrente que haya fundamentado su decisión en la Ley de procedimiento administrativo común, “que consideramos inaplicable al ámbito procesal civil, puesto que además de existir normas concretas al respecto, no se dan en uno y otro ámbito las mismas garantías procedimentales”; siendo que en materia de notificación de actos procesales existe su propia normativa tanto en la Ley de enjuiciamiento civil —los artículos arriba citados—, como en el haz de garantías del propio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solicita que este Tribunal Constitucional, con estimación del amparo, acuerde la nulidad de ambas resoluciones judiciales y ordene reponer las actuaciones al momento previo al dictado de la primera de aquéllas, a fin de que el juzgado a quo admita a trámite la “oposición al despacho de ejecución formulada por Euroinversiones Inmobiliarias Costa Sur, S.L.”.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 de los pronunciamientos judiciales que han sido objeto de impugnación, con la celebración de subasta y la eventual adjudicación a terceros, pueden hacer perder al recurso de amparo su finalidad, por lo que solicito la suspensión de la continuación del procedimiento de ejecución hipotecaria 365-2018 seguido ante el Juzgado de Primera Instancia e Instrucción número 5 de Lorca, hasta tanto sea resuelto el presente recurso de amparo, poniéndolo en conocimiento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Sección Cuarta, de este Tribunal Constitucional, dictó providencia el 11 de febrero de 2020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porque el recurso plantea un problema o afecta a una faceta de un derecho fundamental sobre el que no hay doctrina de este Tribunal [STC 155/2009, FJ 2 a)], así como que el recurso puede dar ocasión al Tribunal para aclarar o cambiar su doctrina, como consecuencia de cambios normativos relevantes para la configuración del contenido del derecho fundamental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diríjase atenta comunicación al Juzgado de Primera Instancia e Instrucción núm. 5 de Lorca a fin de que, en méritos al procedimiento de ejecución hipotecaria núm. 365-2018, proceda a emplazarse,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dictada por la Sección Cuarta de este Tribunal en la misma fecha de la admisión del recurso, el 11 de febrero de 2020,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entidad recurrente presentó su escrito de alegaciones con fecha 14 de febrero de 2020, interesando se acceda a lo solicitado en cuanto a la suspensión del procedimiento de ejecución hipotecaria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alega que la continuación de tal procedimiento, “con la celebración de subasta y la eventual adjudicación a terceros harían perder al recurso de amparo su finalidad y provocarían perjuicios patrimoniales para mi representada de imposible o difícil reparación”. Invoca a su favor lo resuelto por este Tribunal en su ATC 287/2013, de 16 de diciembre, reiterando a renglón seguido las vulneraciones constitucionales de fondo que aduce en su demanda, e indicando que de celebrarse la subasta y la posible adjudicación del bien inmueble a terceros de buena fe, con “desposesión del bien ejecutado, conllevaría a situaciones irreversibles, con un inevitable perjuicio para mi representada”.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fiscal ante este Tribunal Constitucional formalizó su escrito de alegaciones en esta pieza el 25 de febrero de 2020, interesando que se adopte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cita del art. 56.1 LOTC y destacar la necesidad de acreditar por el interesado la existencia de un perjuicio irreparable, para poder acordarse la suspensión de los actos impugnados en amparo, sostiene el fiscal que, en el presente caso, la suspensión solicitada comportaría la paralización del procedimiento ejecutivo que, por su propia naturaleza, goza de las características de celeridad y sumariedad pero, también es obvio que, de continuar al procedimiento, este acabará con la subasta del bien hipotecado y con la eventual adjudicación a un tercero de buena fe, lo que haría irreversible esa situación aun cuando el amparo solicitado prosperara. Para conseguir el efecto protector deseado por la recurrente y enervar los indeseados efectos de la paralización del procedimiento, se puede acordar la anotación preventiva de la demanda de amparo en el registro de la propiedad, ya que de esta manera se daría publicidad frente a terceros de la pendencia del recurso, lo que conlleva el conocimiento de los efectos que sobre la titularidad de la vivienda puede tener el otorgamiento del amparo en su caso, evitando que el hipotético tercero adquirente queda especialmente protegido por su buena fe en la adquisición.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Insiste finalmente en que es procedente la medida de anotación preventiva, lo que puede adoptar este Tribunal, de oficio o a instancia de parte, de conformidad con lo dispuesto en el art. 42.1 de la Ley hipotecaria.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365-2018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365-2018,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