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3092-2019, promovido por Penrei Inversiones, S.L., representada por la procuradora de los tribunales doña Blanca Berriatua Horta y bajo la dirección de la letrada doña Anju Nirmala Benavent Rodríguez contra el auto del Juzgado de Primera Instancia e Instrucción núm. 6 de Lorca, de 17 de septiembre de 2018, que inadmitió la demanda de oposición a la ejecución formulada por dicha mercantil, en el procedimiento de ejecución hipotecaria núm. 67-2018 instado por la entidad Banco de Sabadell; y contra el auto del mismo juzgado, de 8 de abril de 2019, que desestimó el recurso de reposición interpuesto contra la anterior resolución. Ha intervenido el Ministerio Fiscal. Ha formulado alegaciones la entidad Pera Assets Designated Activity Company, actuando como sucesora procesal del banco ejecutante.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mayo de 2019, la procuradora de los tribunales doña Blanca Berriatua Horta, actuando en nombre y representación de Penrei Inversiones Inmobiliarias, S.L., bajo la defensa de la letrada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en relación con una finca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6 de Lorca, al que correspondió el conocimiento de la causa, dictó auto el 20 de junio de 2018 por el que acordó el despacho de ejecución (procedimiento de ejecución hipotecaria núm. 67-2018),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21 de junio de 2018, el servicio de notificaciones electrónicas de la Fábrica Nacional de Moneda y Timbre remitió al buzón de la dirección electrónica habilitada de la entidad aquí recurrente en amparo, un correo avisándole que tenía una notificación del Juzgado de Primera Instancia núm. 6 de Lorca relativa al proceso “EJH/000067/2018”; notificación a la que podía acceder entre los días 21 de junio a 6 de agosto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27 de julio de 2018 Penrei Inversiones, S.L., accedió al enlace remitido por la dirección electrónica habilitada y, con ello, a la notificación enviada por el juzgado de primera instancia ejecutor en relación con el procedimiento hipotecario núm. 67-2018.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27 de agosto de 2018 Euroinversiones Inmobiliarias Costa Sur, S.L., y Penrei Inversiones, S.L., presentaron escrito de oposición a la demanda de ejecución. Por auto de 17 de septiembre de 2018, el Juzgado de Primera Instancia e Instrucción núm. 6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Euroinversiones Inmobiliarias Costa Sur, S.L., y Penrei Inversiones, S.L., presentaron sendos recursos de reposición contra el auto de 17 de septiembre de 2018 basándose en la infracción de los arts. 135, 152, 160 y 162 Ley de enjuiciamiento civil (LEC) y del art. 24 CE. Dicho recurso fue desestimado por auto de 8 de abril de 2019, haciendo saber a las partes que esta resolución es firme y que contra la misma no cabe recurso alguno. Señala el auto que, “en el presente caso, consta que la notificación se puso a disposición de las recurrentes en fecha 21de junio de 2018 no accediendo al contenido hasta el día 27 de julio de 2018 y 31 de julio de 2018 (fuera de los tres días que establece la normativa procesal), presentado los escritos de oposición a la ejecución en fecha 27 de agosto de 2018 y 29 de agosto de 2018 respectivamente, claramente fuera del plazo legalmente establecido en el art. 556.1 LEC,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8 de abril de 2019 que desestimó el recurso de reposición promovido contra el auto de 17 de septiembre de 2018 —y del que se resumen sus argumentos—, se rechaza por la recurrente que el juzgado haya fundamentado su segunda decisión en la Ley de procedimiento administrativo común, que considera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aquéllas,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ello solicitó la suspensión de la continuación del procedimiento de ejecución hipotecaria 67-2018 seguido ante el Juzgado de Primera Instancia e Instrucción núm. 6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Sala Primera de 3 de julio de 2019 se requirió al Juzgado de Primera Instancia e Instrucción núm. 6 de Lorca para que en el plazo de diez días remitiera certificación indicativa de si el auto de 8 de abril de 2019 dictado en el proceso de ejecución hipotecaria 67-2018, resolutorio del recurso de reposición interpuesto por la sociedad recurrente, ha adquirido firmeza o si, pese a indicarse en dicha resolución que contra la misma no cabía recurso alguno, ha sido planteado por la sociedad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19 de julio de 2019 tuvo entrada en el registro general de este tribunal diligencia de ordenación del Juzgado de Primera Instancia e Instrucción núm. 6 de Lorca de 10 de julio de 2019, en la que se hace constar que contra el auto de 8 de abril de 2019 no se interpuso recurso por la sociedad Penrei Inversiones, S.L., por lo que adquirió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dictó providencia el 30 de septiembre de 2019 por la que acordó: (i) admitir a trámite el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(ii) requerir al juzgado a quo para que en plazo no superior a diez días remitiera certificación o fotocopia adverada de las actuaciones del procedimiento de ejecución hipotecaria núm. 67-2018; (iii) previamente emplazara a quienes hubieran sido parte en éste, excepto a la recurrente en amparo, para poder comparecer en el presente proceso constitucional en 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16 de octubre de 2019, la procuradora de los tribunales doña Blanca María Grande Pesquero, actuando en nombre y representación de la entidad Pera Assets Designated Activity Company,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18 de octubre de 2019 se tiene por personada y parte en nombre y representación de Pera Assets Designated Activity Company a la procuradora doña Blanca María Grande Pesquero.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8 de noviembre de 2019, la secretaría de justicia de la Sala Primera de este tribunal dictó diligencia de ordenación por la que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12 de diciembre de 2019, por el que interesó se dictara resolución estimatoria del recurso de amparo, haciendo mención a la STC 47/2019, de 8 de abril, que, a su parecer, respalda los argumentos que presenta en este recurso, en torno a la necesidad de que el primer emplazamiento o citación al demandado se efectúe en su domicilio, como impone el artículo 155.1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ante este Tribunal Constitucional presentó escrito de alegaciones el 16 de diciembre de 2019,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6 de Lorca, en el juicio de ejecución hipotecaria 67-2018”,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del recurso, la fiscal expuso sus razones para considerar correctamente agotada la vía judicial previa al amparo por parte de la recurrente [art. 44.1 a) LOTC], al no ser necesario interponer incidente de nulidad de actuaciones contra el auto desestimatorio de la reposición —que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 recurrente, considera la fiscal sobre todo que procede hacer aplicación de la doctrina sentada por la STC 47/2019, de 8 de abril, en un supuesto similar, referido a un proceso laboral, pero donde resultan de aplicación subsidiaria las normas de la Ley de enjuiciamiento civil, en especial los arts. 155 y 273.4, segundo párrafo, de los que se deriva la obligatoriedad de que el primer emplazamiento se realice de manera personal y con entrega en papel de la documentación. El resultado es que ambas resoluciones del juzgado sumieron a la recurrente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diciembre de 2019, la procuradora doña Blanca María Grande Pesquero, formalizó escrito de alegaciones ante este Tribunal actuando en nombre y representación de la entidad Pera Assets Designated Activity Company, y asistida por el letrado don Alejandro Ingram Solís, a fin de “formular oposición al recurso de amparo”. Se interesó en el mismo la denegación del amparo solicitado por la entidad recurrente, y que “se tenga por subrogada a mi representada Pera Assets Designated Activity Company como parte en este procedimiento, en lugar de la actora y a mí como parte legítima en dicha representación”. En dicho escrito, la mercantil defendió la interpretación que hace el juzgado de las normas citadas en los dos autos impugnados, por lo que el escrito de oposición a la ejecución se presentó “claramente fuera del plazo legalmente establecido en el artículo 556.1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Respecto de la solicitud de suspensión formulada por la recurrente en amparo mediante otrosí de su escrito de demanda, por auto de la Sala Primera de este tribunal núm. 139/2019, de 11 de noviembre, se acordó: “1 Denegar la suspensión cautelar solicitada […]; 2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25 de junio de 2019,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las resoluciones impugnadas han vulnerado el derecho a la tutela judicial efectiva (art. 24.1 CE) de la entidad recurrente,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núm. 6 de Lorca, de 17 de septiembre de 2018 y 8 de abril de 2019, recaídos en el proceso hipotecario núm. 67-2018.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 aquí la recurrente, con fallo estimatorio de la demanda. Descartada aquí la concurrencia de algún elemento distintivo que obligue a una fundamentación o resultado diverso de lo declarado entonces, procede aplicar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presentado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17 de septiembre de 2018 y 8 de abril de 2019, dictados por el Juzgado de Primera Instancia e Instrucción núm. 6 de Lorca en el proceso de ejecución hipotecaria núm. 67-2018,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