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2094-2019, promovido por don José Luis Gonzalo Troncoso Freiría, representado por la procuradora de los tribunales doña Paula María Guhl Millán, y defendido por el letrado don Andrés Pérez Subirana contra el auto de la Sala de lo Social del Tribunal Supremo de 23 de enero de 2019, dictado en el recurso de casación para unificación de doctrina núm. 2549-2018, y contra la sentencia de la Sala de lo Social del Tribunal Superior de Justicia de Andalucía, sede de Sevilla, de 21 de diciembre de 2017, dictada en el recurso núm. 127-2017-L. Han intervenido la letrada de la administración de la seguridad social en representación del Instituto Nacional de la Seguridad Social (INSS) y de la Tesorería General de la Seguridad Social (TGSS)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electrónico de este Tribunal el día 1 de abril de 2019, don José Luis Gonzalo Troncoso Freiría, interpuso recurso de amparo contra el auto de la Sala de lo Social del Tribunal Supremo de 23 de enero de 2018, que desestimó el recurso de casación para unificación de doctrina núm. 2549-2018, interpuesto contra la sentencia de la Sala de lo Social del Tribunal Superior de Justicia de Andalucía, sede de Sevilla, de 21 de diciembre de 2017, dictada en el rollo de suplicación núm. 127-L, que también se impugna. Esta última estimó el recurso de suplicación interpuesto contra la sentencia del Juzgado de lo Social núm. 2 de Cádiz de 29 de marzo de 2016 —dictada en los autos núm. 201-2014— que había estimado la demanda del recurrente contra la resolución de 23 de enero de 2014 del Instituto Nacional de la Seguridad Social y había declarado el derecho del demandante al 100 por 100 de la base reguladora con efectos del 30 de abril de 2013, absolviendo de toda responsabilidad a la Iglesia evangélica.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julio de 2013 el recurrente solicitó la revisión de la cuantía de su pensión de jubilación que le había sido reconocida por resolución del Instituto Nacional de la Seguridad Social (en adelante INSS) de 25 de enero de 2008. Dicha solicitud fue desestimada por resolución de 13 de noviembre de 2013 (con registro de salida del 15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tras interponer reclamación previa contra la anterior resolución denegatoria interpuso demanda ante los juzgados de lo social de Cádiz. En la misma afirmó que no se le permitió darse de alta en la Seguridad Social por su actividad pastoral “hasta 1999”, lo que impidió que se le tuviera en cuenta la actividad realizada no coincidente con otra actividad o causar alta en la Seguridad Social. Refiere que dicha situación contrasta con la posibilidad de darse de alta que se reconocía a quienes realizaban idéntica actividad pastoral pero para la Iglesia católica. Dicha disparidad de trato constituye a su juicio una vulneración del derecho a la igualdad y no discriminación [arts. 14 CE y 14 del Convenio europeo para la protección de los derechos humanos y de las libertades fundamentales (CEDH)] y del derecho fundamental a la libertad religiosa (art. 16 CE y art. 9 CEDH). Apoya su afirmación en la STEDH de 3 de abril de 2012, cuyo contenido exponía extensamente. También hace amplia referencia a la regulación aplicable: Decreto 2398/1977, de 27 de agosto, Orden de 19 de diciembre de 1977, y reales decretos 487/1998, de 17 de marzo, y 2668/1998, de 11 de diciembre. Y, finalizaba su demanda solicitando que se revisase la pensión de jubilación con el reconocimiento del 100 por 100 de la base reguladora todo ello con apoyo en una cotización a la Seguridad Social de treinta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Repartida la demanda, el Juzgado de lo Social núm. 2 de Cádiz incoó el procedimiento núm. 201-2014 sobre seguridad social en materia prestacional, y dictó sentencia el 29 de marzo de 2016 por la que estimó la demanda y declaró el derecho del demandante al 100 por 100 de la base reguladora con efectos desde el 20 de abril de 2013. Por otra parte absolvió de toda responsabilidad a la Iglesia evangélica. En dicha sentencia se contiene como hechos probados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Al demandante nacido el 10-1-43 (teniendo 50 años en 1993 y 55 en 1998), se le reconoció jubilación el 25.1.2008 con efectos de tal día, por 32 años de cotización y el 94 por 100 de la Base. Computándole 11.419 días resultado de sumarle: 10.426 días del periodo 7-10-98 a 10-1-2008, más 279 días por un contrato a tiempo parcial y otros 751 por la edad que tenía el 1.1.67 de la empresa Corvián del 77 al 79: 441 día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la Iglesia Evangélica: de 15-9-86 a 30.9-91: 558 días; de 11.10.91 a 30.4.99: 2.759; de 1.5.99 a 10.01.2008: 3.177 días, más 13 días de vacaciones no disfrutadas.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reguladora fue de 646,13 euros, del que su 94 por 100 son: 607.36 que con complementos a mínimo le supuso 658,95 euros al mes. Por esos redondeados: 32 años. El periodo de bases de cotizaciones utilizadas se extiende desde: 1.1.1993 a 31.2.2007; de ahí la base reguladora de 646,13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Ejerció la función de Ministro de Culto de la Iglesia Evangélica desde: 1.1.1974 a 1.1.2008 en que se jubiló”.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extractaba —en su fundamentación jurídica— el contenido de la STEDH de 3 de abril de 2012, asunto Manzanas Martín c. España, indicando que al demandante solo se le ha computado el periodo de cotización, como tiempo de prestación de servicios a la Iglesia evangélica, desde que fue dado de alta en el régimen general, por lo que le era aplicable la doctrina de la STEDH citada. Refería que al no ofrecerle ni aplicarle ninguna posibilidad de alcanzar treinta y cinco años de cotización tomando en consideración el tiempo de realización de actividad como ministro de culto de la Iglesia evangélica antes de la integración de 1986, se le había provocado una discriminación que vulneraba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INSS y la TGSS formalizaron recurso de suplicación contra la anterior sentencia. Dicho recurso fue estimado por sentencia de la Sala de lo Social, con sede en Sevilla, del Tribunal Superior de Justicia de Andalucía, dictada 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 la sentencia se exponía con detalle la regulación que prevé la incorporación al régimen general de la Seguridad Social del clero diocesano y de los religiosos y religiosas secularizados de la Iglesia católica. Y en lo que a los ministros de culto de las iglesias pertenecientes a la Federación de Entidades Religiosas Evangélicas de España se refería, indicaba que tras la solicitud de inclusión en la Seguridad Social efectuada el año 1997, fue el Real Decreto 369/1999, de 5 de marzo, el que hizo efectiva su integración. Dicha norma estableció en su art. 2.1) que “a estos efectos se entenderá por ministro de culto la persona que esté dedicada, con carácter estable, a las funciones de culto o asistencia religiosa, siempre que no ejerza estas funciones a título gratuito”. Sostenía que si bien la norma no preveía inicialmente la posibilidad de cómputo de periodos anteriores, la modificación realizada por el Real Decreto 839/2015, de 21 de septiembre completó la posibilidad de reconocimiento de períodos como cotizados anteriores a la inclusión en el régimen general en relación con, entre otras,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 la cuestión del recurso a determinar si puede afirmarse la existencia, en el caso del actor, de discriminación respecto a sacerdotes de la Iglesia católica por el hecho de que a estos se les permita la incorporación a la Seguridad Social de manera casi inmediata al Real Decreto 2398/1977. A fin de resolver la existencia de la misma hace referencia a la STEDH de 3 de abril de 2012, asunto Manzanas Martín c. España, e indica que en dicha sentencia se discutía el derecho a pensión de jubilación de un pastor de la Iglesia evangélica que ejerció como tal hasta el año 1991, esto es, hasta antes de la integración y al que le fue denegada la pensión solicitada. El Tribunal Europeo de Derechos Humanos declaró la existencia de vulneración del art. 14 CEDH en relación con las previsiones y la regulación del clero de la Iglesia católica y condenó al Estado español al pago de una indemnización. Sin embargo, lo que pretende el actor es el incremento del porcentaje de la pensión de jubilación que le ha sido reconocida por lo que las situaciones no son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tampoco existe trato discriminatorio respecto de quienes, en su misma situación, pertenecen a la Iglesia católica. Refiere que la orden del Ministerio de Sanidad y Seguridad Social de 19 de diciembre de 1977 estableció para el clero diocesano de la Iglesia católica una previsión sobre reconocimiento de periodos previos como cotizados para poder causar pensión de jubilación y requería tener cincuenta y cinco años cumplidos y que se tratara de personas respecto de las que se previera que no alcanzarían el periodo de carencia necesario para causar pensión de jubilación a los sesenta y cinco años. Indica que una disposición semejante se ha dictado para ministros de culto de las iglesias pertenecientes a la Federación de Entidades Religiosas Evangélicas de España en virtud del Real Decreto 839/2015, de 21 de septiembre. Afirma que la situación del actor no es equiparable a la de quienes no pueden acceder a la pensión de jubilación. Como tampoco es equiparable su situación a quienes habiendo pertenecido al clero de la Iglesia católica se hubiesen secularizado o hubiesen cesado en la profesión religiosa (Real Decreto 2665/1998, de 11 de diciembre que completa el Real Decreto 487/1998, de 27 de marzo). Finalmente añade que la tardía regulación de la incorporación de los pastores de la Iglesia evangélica a la Seguridad Social, respecto a la incorporación del clero de la Iglesia católica, es cierta, pero no ocasiona discriminación, pues la inmediata incorporación del clero a la Seguridad Social se produce porque cuando se dicta el Real Decreto 2398/1977, de 27 de agosto, la única religión oficial era la católica, y, en el caso del actor, el tardío desarrollo de la integración de la Iglesia evangélica en nada afectó a la pensión pretendida, teniendo en cuenta que se le han computado cotizaciones de esta Iglesia desde 1986, por lo que no hubo ninguna objeción al alta en dicha fecha y que igualmente se le podría haber dado de alta antes. Tal razonamiento lleva a la revocación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don José Luis Gonzalo Troncoso Freiría interpuso recurso de casación para la unificación de doctrina que fue inadmitido por auto de fecha 23 de enero de 2019 dictado por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examina como sentencia de contraste alegada la dictada por el Tribunal Superior de Justicia de Cataluña de 29 de junio de 2016 y descarta la existencia de contradicción al no existir coincidencia en los hechos acreditados en las dos resoluciones, lo que justifica las diferentes consecuencias jurídicas alcanzadas.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existe coincidencia en los hechos acreditados en las dos resoluciones, lo que justifica las diferentes consecuencias jurídicas alcanzadas y obsta a toda contradicción. Así, en la sentencia de contraste consta, de un lado, que el actor fue ministro de culto de la Iglesia evangélica con plena dedicación y percibiendo una retribución desde el 1 de diciembre de 1967 y hasta el 31 de diciembre de 2002, cuando pasó a la situación de jubilación; y, de otro, que cotizó por la Iglesia evangélica en diversos periodos desde el 1 de septiembre de 1991 al 31 de diciembre de 2002. Mientras que en la sentencia recurrida, de un lado, lo que consta es que el actor ejerció la función de ministro de culto de la Iglesia evangélica desde el 1 de enero de 1974 a 1 de enero de 2008, en que se jubiló, pero no hay referencia alguna a que ello fuera con plena dedicación y percibiendo retribución; y, de otro, acredita cotizaciones de la Iglesia evangélica desde el 15 de septiembre de 1986 y hasta el 10 de enero de 2008, esto es, desde antes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declare la vulneración del derecho a la igualdad y no discriminación (art. 14 CE) y de la libertad religiosa (art. 16 CE) y se anule el auto de la Sala de lo Social de Tribunal Supremo dictado en el recurso de casación para unificación de doctrina núm. 2549-2018 y la sentencia de la Sala de lo Social del Tribunal Superior de Justicia de Andalucía en Sevilla de 21 de diciembre de 2017 —recurso de suplicación núm. 127-2017— y se deje vigente la sentencia del Juzgado de lo Social núm. 2 de Cádiz dictada en el procedimiento núm. 201-2014.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la denegación de la pensión solicitada ante el INSS vulneraba el art. 14 CE por tratarse de un trato desigual injustificado y constituir una discriminación por pertenencia a una confesión religiosa (art. 16 CE), como ya había reconocido por la STEDH de 3 de abril de 2012. Aborda extensamente el contenido de la sentencia del Juzgado de lo Social núm. 2 de Cádiz, tanto en el relato de hechos probados, como en su fundamentación, con expresa referencia a la regulación legal que en la misma se cita. Tras referirse al recurso de suplicación interpuesto por el INSS y al contenido de la sentencia del Tribunal Superior de Justicia de Andalucía, desarrolla las razones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expresa que la Sala de lo Social del Tribunal Superior de Justicia en la sentencia de 21 de diciembre de 2017, al estimar el recurso presentado por el INSS y confirmar la resolución administrativa, y en última instancia el auto del Tribunal Supremo de 23 de enero de 2019 que inadmitió el recurso de casación para unificación de doctrina, vulneraron los arts. 14 y 16 CE, al avalar el trato desigual y discriminatorio de los pastores evangélicos respecto de los católicos, sin que existiera una causa objetiva y razonable que lo justificase.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Sostuvo que el Tribunal Superior de Justicia de Andalucía parecía obviar que es una cuestión resuelta por la Sala Cuarta y Tercera del Tribunal Supremo, en la Sentencia de la “Sala General de la Sala Cuarta de 24 de abril de 2018”, aclarada y completada por auto de 16 de enero de 2019 que los pastores evangélicos que hayan sufrido alguna de las contingencias protegidas por su inclusión en el sistema de la Seguridad Social, tienen derecho a que la cotización exigible para beneficiarse de las correspondientes prestaciones pueda ser computada e ingresada en los mismos términos que el legislador ha previsto para los sacerdotes de la religión católica. No cabe alegar la necesidad de un acuerdo entre el Estado y la Iglesia evangélica para reconocer la integración de los pastores en el sistema de la Seguridad Social, pues ya estaba previsto en el Real Decreto 2398/1977, por lo que difícilmente se podía justificar el retraso en su inclusión en el régimen general de la Seguridad Social con los argumentos que realizó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del Tribunal Constitucional, en fecha 30 de septiembre de 2019, dictó providencia en la que acordó admitir a trámite el recurso, apreciando especial trascendencia constitucional, porque el recurso planteaba un problema o afectaba a una faceta de un derecho fundamental sobre el que no había doctrina de este Tribunal [STC 155/2009, FJ 2, a)], y dar vista de todas las actuaciones del presente recurso de amparo, en la secretaría de la Sala, por un plazo común de veinte días, al Ministerio Fiscal y al procurador del demandante, para que dentro de dicho término pudieran presentar las alegaciones que a su derecho convenga, y al abogado del Estado para que dentro de dicho plazo, si lo estimaba oportuno, pueda personarse y formular las alegaciones del mencionado art. 52, con entrega de copia de la demanda y demás documentación presentada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octubre de 2019 la letrada de la administración de la Seguridad Social, en nombre del Instituto Nacional de la Seguridad Social y de la Tesorería General de la Seguridad Social solicitó que se le tuviera por comparecida y personada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18 de diciembre de 2019, la fiscal jefe ante el Tribunal Constitucional formuló alegaciones, solicitando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expuso los antecedentes procesales de los que traía causa la demanda de amparo y sintetizó el contenido de ésta. A continuación recogía la doctrina del Tribunal Constitucional sobre el contenido del derecho a la igualdad a través de la reproducción parcial de la STC 91/2019 y del ATC 89/2019, y extractó la STEDH de 3 de abril de 2012, asunto Manzanas Martín c. España. Se refirió al modo en que la citada STEDH fue aplicada por la Sala de lo Social del Tribunal Supremo, tanto en la sentencia de 24 de abril de 2018, dictada por el pleno, como en la sentencia de 19 de junio de 2018, en que no se apreció contradicción alguna con la sentencia de contraste entonces alegada, al no acreditarse que el interesado hubiera desempeñado funciones como pastor de la Iglesia evangélica a los efectos de la revisión de la cuantía de la pensión de jubilación. Por otra parte, en relación con el auto de 23 de enero de 2019 cuestionado en la demanda de amparo, en el que a su vez se alude a la sentencia de 19 de junio de 2018, consideró que la contradicción alegada con un asunto similar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Consideró manifestó que las afirmaciones del recurrente que sustentaban la vulneración del derecho a la igualdad y la existencia de discriminación, contrastaban con los pronunciamientos de la Sala Cuarta del Tribunal Supremo. El auto de 23 de enero de 2019, es cuestionado por el recurrente “aunque su fundamentación se omita de forma palmaria”. Sostuvo que tanto la Sala de lo Social del Tribunal Superior de Andalucía, como la Sala Cuarta del Tribunal Supremo apreciaron que en el supuesto de autos no concurría la discriminación denunciada, lo cual ha sido declarado en más ocasiones por la Sala Cuarta del Tribunal Supremo. La razón de decidir de ambas resoluciones no fue la tardía inclusión en el régimen de la Seguridad Social. Lo que imposibilitó que el actor accediera a la pensión de jubilación sin descuento alguno fue “la falta de acreditación de que hubiera ejercido como pastor de la Iglesia evangélica de modo retribuido por la totalidad del tiempo de carencia exigido para lucrar la pensión de jubilación íntegra y para ello han tomado en consideración su vida laboral, que en la presente demanda no se cuestiona, como tampoco se cuestionó en el proceso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Expuso que el examen de la vida laboral del actor pone de manifiesto la realización de trabajo por cuenta ajena para empresas distintas de la Iglesia evangélica durante el periodo en que ya ejerció la función de ministro de culto, lo que evidenciaba que tal actividad pastoral no era ejercida de forma exclusiva por el actor. Aludió a que en periodos anteriores a que se produjera la integración del colectivo de pastores de la Iglesia evangélica en el régimen de la Seguridad Social —con bastante antelación— ya figuraba como trabajador de la misma y cotizaba por él, a la Seguridad Social, la Iglesia evangélica. Tal circunstancia permite constatar la irrelevancia de la tardía incorporación al régimen de la Seguridad Social en comparación con los clérigos y religiosos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demandante “no ha acreditado es el desempeño retribuido de la función de ministro de culto durante el periodo de carencia o el desempeño de otras actividades también cotizadas durante ese mismo periodo y ello es lo que ha determinado la reducción de su pensión de jubilación, lo que en casos similares también sucede con los demás afiliados a la Seguridad Social, sacerdotes católicos y otro tipo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amparo, el 2 de enero de 2020, formuló alegaciones, sistematizadas bajo cuatro títulos, con una previa explicación sobre la necesidad de efectuar precisiones a la demanda de amparo. Insistió en que hasta el año 1992 no pudo cotizar como pastor evangélico al no permitirse el alta en la Seguridad Social a diferencia de los pastores de la Iglesia católica. Destacaba la necesaria aplicación de la STEDH de 3 de abril de 2012 en el asunto Manzanas Martín c. España, según declaró la STS de 24 de abril de 2018 del Pleno de la Sala de lo Social del Tribunal Supremo, siendo reconocido su carácter vinculante por la sentencia de la Sala Tercero del Tribunal Supremo de 13 de noviembre de 2017. Cuestionaba la solidez de la argumentación de las resoluciones judiciales que descartaron la vulneración del derecho fundamental, insistiendo en que no se le permitió cotizar por periodos de actividad pastoral anteriores al momento en que la norma les permitió acceder a cotizar. Finalmente se refirió a que la estimación de la vulneración debía llevar a la anulación de las resoluciones judiciales vulneradoras y a mantener el pronunciamiento del juzgado de lo social de Cádiz.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3 de enero de 2020 se presentaron las alegaciones del Instituto Nacional de la Seguridad Social y de la Tesorería General de la Seguridad Social, solicitando la denegación del amparo, y subsidiariamente, si se decide otorgar el amparo, resuelva que el actor tiene el deber de abonar el capital coste correspondiente a la parte de la pensión, que se derive de los años de cotización que se le reconozcan.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refiriéndose a los antecedentes procesales y al contenido de las resoluciones judiciales dictadas. Examina el contenido de la STEDH de 3 de abril de 2012, e indica que el supuesto que en dicha sentencia se resuelve, así como el que es objeto de la sentencia de la Sala de lo Social del Tribunal Supremo de 24 de abril de 2019, son distintos al que se plantea en el presente caso, en el que al actor se le ha reconocido pensión de jubilación, por importe del 94 por 100 de la base reguladora, por 32 años de cotización. En este caso, se pretende el reconocimiento del 100 por 100 de la base reguladora, para lo que se requiere que se le computen al menos tres años del periodo que ejerció como ministro de culto, antes de la integración en el régimen general, por el Real Decreto 369/1999,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denegación de su pretensión no supone la vulneración alegada por varias razones: i) consta en los hechos probados que ejerció la función de ministro de culto de la Iglesia evangélica desde el 1 de enero de 1974 al 1 de enero de 2008, pero no consta referencia alguna a que lo fuera con plena dedicación y percibiendo retribución, a diferencia del supuesto examinado por la sentencia del Tribunal Superior de Justicia de Cataluña de 29 de junio de 2016; ii) el art. 2 del Real Decreto 369/1999, de 5 de marzo, que reguló los términos y condiciones de inclusión en el régimen general de la Seguridad Social de los ministros de culto pertenecientes a la Federación de Entidades Religiosas Evangélicas de España, establece que a los efectos del real decreto se entenderá por ministro de culto la persona que esté dedicada con carácter estable a las funciones de culto o asistencia religiosa, siempre que no las desempeñe a título gratuito. La retribución constituye un requisito necesario para su inclusión en el régimen general, al igual que sucede con los sacerdotes católicos, respecto del art. 1 de la Orden de 19 de diciembre de 1977, que regula determinados aspectos de la inclusión del clero diocesano de la Iglesia católica en el régimen general de la Seguridad Social. Al no quedar acreditado que durante los años de ejercicio de ministro de culto anteriores, que pretende computar para alcanzar el porcentaje del 100 por 100 de la base reguladora de la pensión de jubilación, que el actor cumpliera los requisitos necesarios para su inclusión en el régimen general de la Seguridad Social, por no constar percepción de retribución por sus funciones, no resulta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si se aplicara al actor la orden de 19 de diciembre de 1977, que permitía computar periodos de ejercicio anteriores a la integración, a los sacerdotes católicos, tampoco podría considerarse que ha sido discriminado, pues si bien la norma permite tomar en consideración periodos de actividad sacerdotal anteriores a la vinculación al régimen general de la Seguridad Social, se limita a los clérigos que tuvieran la edad de cincuenta y cinco años en la fecha de entrada en vigor de la norma. Si dicha norma se aplica a la entrada en vigor del Real Decreto 369/1999, de 5 de marzo, el 1 de mayo del mismo año, como el actor nacido el 10 de enero de 1943, tendría cincuenta y seis años en ese momento, solo podría computarse el periodo comprendido entre el 10 de enero de 1998 y el 1 de mayo de 1999, en el que estaba dado de alta y cotizando, como consta en los hechos probados, pero en todo caso el derecho estaría condicionado al deber de abonar el capital coste de la parte de pensión que se derive de los años adicionales reconocidos, pues de lo contrario se produciría un trato más favorable que el dispensado a los sacerdotes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2020, se señaló para la deliberación y votación de la presente sentencia el día 29 de este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demanda de amparo es determinar si la resolución del Instituto Nacional de la Seguridad Social (INSS) por la que se denegó al recurrente la revisión de la pensión de jubilación, confirmada por la Sala de lo Social del Tribunal Superior de Justicia de Andalucía, sede de Sevilla, —que revocó la sentencia del Juzgado de lo Social núm.2 de Cádiz— y luego por la Sala de lo Social del Tribunal Supremo —que desestimó el recurso de casación para unificación de doctrina— vulneraron el derecho a la igualdad y no discriminación (art. 14 CE) y a la libertad religiosa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el recurrente impugnó la sentencia de la Sala de lo Social del Tribunal Superior de Justicia de Andalucía de 21 de diciembre de 2017 —y el auto de la Sala de lo Social del Tribunal Supremo que desestimó el recurso de casación para unificación de doctrina—, porque al revocar la sentencia dictada por el Juzgado de lo Social núm. 2 de Cádiz, vulneraron el derecho a la igualdad y no discriminación, en relación con el derecho a la libertad religiosa, de los pastores evangélicos respecto de los católicos (arts. 14 y 16 CE). Consideraba que la discriminación resultaba del retraso en la inclusión de quienes ejercían el ministerio de culto de la Iglesia evangélica en el régimen general de la Seguridad Social, demora que, a juicio del recurrente, habría impedido que se le computasen determinados años en que ejerció como ministro de culto, sin que existiera una causa objetiva y razonable que lo justificase.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y la representación del INSS y de la TGSS descartaron la existencia de la desigualdad de trato alegada, pues la razón por la que no se le había concedido la revisión de la pensión, no tenía que ver con la posibilidad de darse de alta en la Seguridad Social, sino con la falta de acreditación del desempeño de la función de ministro de culto retribuida y en exclusiva durante el periodo de carencia, prueba que también era exigible a los ministros de culto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Contexto normativo aplicable. Inclusión de los ministros de culto en el ámbito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conviene hacer referencia, aun de modo conciso, a la evolución de la regulación sobre la inclusión de los ministros de culto de iglesias y confesiones religiosas en el ámbito de la Seguridad Social en lo que al objeto de la demanda de amparo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ponen de manifiesto las partes, el Real Decreto 2398/1977, de 27 de agosto, por el que se regula la Seguridad Social del clero, dictado en aplicación del art. 61.2 h) de la Ley general de la seguridad social de 30 de mayo de 1974, dispuso que los “clérigos de la Iglesia católica y demás ministros de otras iglesias y confesiones religiosas debidamente inscritas en el correspondiente registro del Ministerio de Justicia quedarán incluidos en el ámbito de aplicación del régimen general de la Seguridad Social, en las condiciones que reglamentariamente se determinen”.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al que llamaba el Real Decreto, se realizó por la Orden de 19 de diciembre de 1977, por la que se regulan determinados aspectos relativos a la inclusión del clero diocesano de la Iglesia católica en el régimen general de la Seguridad Social. Para que pudieran quedar asimilados a los trabajadores por cuenta ajena, a los efectos de su inclusión en el régimen general de la Seguridad Social se exigía que “desarrollen su actividad pastoral al servicio de organismos diocesanos o supra diocesanos por designación del ordinario competente y perciban por ello la dotación base para su sustentación.”. Asimismo se establecía que “la base única mensual de cotización para todas las contingencias y actuaciones incluidas en la acción protectora estará constituida por el tope mínimo de la base de cotización para trabajadores mayores de dieciocho años vigente para cada momento en el régimen general de la Seguridad Social, sin el incremento correspondiente a pagas extraordinarias” (art. 3). Se disponía que “las diócesis y organismos supra diocesanos asumirán los derechos y obligaciones establecidos para los empresarios en el régimen general de la Seguridad Social” (art. 4). Y quienes estaban ejerciendo el cometido pastoral, a efectos de cotización para la contingencia de jubilación, “podrán ingresar la fracción de cuota del Régimen General asignada a las contingencias […] correspondientes a periodos anteriores […] con arreglo a las siguientes condiciones: 1. Si tuvieran cumplida la edad de cincuenta y cinco años el 1 de enero de 1978, podrán hacer el ingreso por los períodos comprendidos entre el 1 de enero de 1978 y el día en que el clérigo hubiera cumplido dicha edad, con la fecha tope de 1 de enero de 1967”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24/1992, de 10 de noviembre, aprobó el acuerdo de cooperación del Estado con la Federación de Entidades Religiosas Evangélicas de España , en cuyo art. 5 se indicó: “De acuerdo con lo dispuesto en el artículo 1 del Real Decreto 2398/1977, de 27 de agosto, los ministros de culto de las Iglesias pertenecientes a la Federación de Entidades Religiosas Evangélicas de España que reúnan los requisitos expresados en el artículo 3, del presente Acuerdo, quedarán incluidos en el régimen general de la Seguridad Social. Serán asimilados a trabajadores por cuenta ajena. Las Iglesias respectivas asumirán los derechos y obligaciones establecidos para los empresarios en el régimen general de la Seguridad Social”. En el indicado precepto se establecía como requisitos que los ministros de culto “estén dedicados, con carácter estable, a las funciones de culto o asistencia religiosa y acrediten el cumplimiento de estos requisitos”, exigencias similares a las establecidas para el clero diocesano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dar cumplimiento a las previsiones normativas enunciadas en el Real Decreto 2398/1977, de 27 de agosto se dictó el Real Decreto 369/1999, de 5 de marzo, sobre términos y condiciones de inclusión en el régimen general de la Seguridad Social de los ministros de culto de las iglesias pertenecientes a la Federación de Entidades Religiosas Evangélicas de España, estableciendo los términos y condiciones de dicha incorporación, pero sin hacer previsión alguna de derecho transitorio y relativa a los periodos de actividad pastoral previos a la inclusión en el sistema de Seguridad Social, a diferencia de lo que establecía la citada Disposición transitoria primera de la orden de 19 de diciembre de 1977. En concreto, en el art. 2 se disponía —en términos similares a los establecidos por la referida orden de 19 de diciembre de 1977 para el clero diocesano de la Iglesia católica— que a los “efectos del presente Real Decreto se entenderá por ministro de culto la persona que esté dedicada, con carácter estable, a las funciones de culto o asistencia religiosa, siempre que no desempeñe las mismas a título gratuito”.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completar la exposición de la evolución normativa, debe destacarse —aunque carezca de relevancia alguna al no ser aplicable al recurrente en amparo— que para salvar la ausencia de cláusula destinada a posibilitar el ingreso de las cuotas correspondientes y reunir el periodo de carencia necesario de aquellos ministros de culto que se encontraran en edades cercanas a la edad de jubilación y que acreditaran haber ejercido esa actividad en un momento anterior al 1 de mayo de 1999, fecha de entrada en vigor del Real Decreto 369/1999, se procedió a incluir en éste, mediante el Real Decreto 839/2015, de 21 de septiembre, una nueva disposición adicional, que si bien fue anulada por la sentencia de la Sección Cuarta de la Sala de lo Contencioso administrativo del Tribunal Supremo de 13 de noviembre de 2017, aplicando la STEDH de 3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 Contenido y alcance del derecho a la igualdad y de la prohibición de discriminación (art. 14 CE), en relación con la libertad religiosa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en los que aparece planteado el debate debemos sintetizar brevemente la doctrina constitucional sobre el derecho a la igualdad y a la prohibición de discriminación con carácter general, vinculando la misma al cálculo de las pensiones contributivas, en concreto de jubilación, y, con ocasión del servicio prestado por quienes pertenecieron a congregaciones religiosas.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recientemente en la STC 91/2019, de 3 de julio, FJ 4, con cita de otras sentencias anteriores,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esencia del derecho a la igualdad comporta que sólo aquella desigualdad que introduce una diferencia de trato entre situaciones que pueden considerarse iguales y que además carece de una justificación objetiva y razonable vulnera el referido derecho. De lo que resulta la máxima tan reiterada de que a iguales supuestos de hecho se apliquen iguales consecuencias jurídicas, no siendo posible distinguir dos supuestos de hecho mediante la utilización o introducción de elementos diferenciadores arbitrarios o carentes de fundamento racional. A lo que debe añadirse que están prohibidas aquellas desigualdades de trato que resulten artificiosas o injustificadas por no venir fundadas en criterios objetivos suficientemente razonables de acuerdo con criterios o juicios de valor generalmente aceptados. Finalmente, es preciso destacar que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[SSTC 253/2004, de 22 de diciembre, FJ 5; 61/2013, de 14 de marzo, FJ 4 a); 156/2014, de 25 de septiembre, FJ 4, y STC 91/2019,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la discriminación a la que se hace referencia se ampara en motivos religiosos, debe recordarse que el art. 14 CE se refiere a la prohibición de una serie de motivos o razones concretos de discriminación. Esta referencia expresa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 Tales prohibiciones expresas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y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[SSTC 22/1994, de 27 de enero, FJ 4; 240/1999, de 20 de diciembre, FJ 6, y 253/2004, FJ 7 y 91/2019,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anteriores precisiones hemos de centrarnos en el derecho a la igualdad con respecto a las prestaciones del sistema de la Seguridad Social, pues es en ese marco en el que se alega la discriminación por parte del recurrente. Entre otras la STC 197/2003, de 30 de octubre, FJ 3, con carácter general, refirió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más concreto y en lo que al trato diferencial derivado de los distintos periodos de cotización se refiere, recientemente, con cita de los pronunciamientos contenidos en las SSTC 253/2004, de 22 de diciembre, FJ 8; 61/2013, FJ 6 b); 156/2014, FJ 5, y 110/2015, de 28 de mayo, FFJJ 4 y 8, hemos recordado que “el principio de contributividad que informa a nuestro sistema de seguridad social justifica sin duda que el legislador establezca que las bases reguladoras de las prestaciones de seguridad social se calculen en función de lo efectivamente cotizado” [STC 91/2019, de 3 de julio,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los miembros de congregaciones religiosas hemos afirmado que la cualidad de miembro de una orden religiosa no puede determinar la “deslaboralización” automática de la actividad profesional que presta, ni, por consiguiente, su exclusión del campo de aplicación del régimen correspondiente de la Seguridad Social. Pues la irrelevancia de “la condición religiosa de la persona que ejerce una actividad profesional, con respecto de la configuración de un vínculo jurídico laboral —que es el presupuesto que condiciona la viabilidad y existencia de la inclusión en el régimen general de la Seguridad Social—, ha sido repetidamente proclamada por la jurisprudencia ordinaria (entre otras, SSTS de 12 marzo 1985 y 16 de septiembre de 1985)”. (STC 63/1994, de 28 de febrero, FJ 4). No debe haber ningún impedimento para reconocer como laboral —si cumple con los requisitos exigidos para ello— la relación que un religioso mantiene tanto dentro de la comunidad a la que pertenece, como la relación con un tercero, cuando dicha actividad se subsume dentro de la participación en la actividad productiva exigida por el art. 1.1 de la Ley del estatuto de los trabajadores, y, en consecuencia, no debe existir obstáculo alguno para determinar su inclusión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además que sería contrario al art. 14 CE efectuar distinciones en este ámbito que se basaran exclusivamente en la pertenencia a una u otra confesión religiosa. En tal sentido la STEDH de 3 de abril de 2012, a la que alude el recurrente, ha declarado la infracción por España de los artículos 14 CEDH y del Protocolo 1 del convenio por el distinto tratamiento dado en la normativa de pensiones a los sacerdotes católicos y a los pastores evangélicos. En tal sentido indica que, “[s]i bien las razones del retraso en la integración de los pastores evangélicos al régimen general de la Seguridad Social están incluidas en el margen de apreciación del Estado (apartado 53 arriba), el Gobierno no justifica, sin embargo, las razones por las cuales, una vez efectuada dicha integración, se mantuvo una diferencia de tratamiento entre situaciones similares, basada solamente en razones de confesión religiosa” [ap.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recurrente tomando como apoyo la STEDH de 3 de abril de 2012, asunto Manzanas Martín c. España, considera que ha sido discriminado respecto a quienes ejercen el ministerio de culto en la Iglesia católica, al no computarse periodos de cotización, como ministro de culto de la Iglesia evangélica debido al injustificado retraso en la inclusión en el régimen general de la Seguridad Social. Sin embargo esa conclusión no es compartida por las demás partes en el procedimiento. Estas descartan la existencia de la desigualdad de trato alegada, al entender que la razón por la que no se le ha concedido la revisión de la pensión de jubilación, nada tiene que ver con la posibilidad de darse de alta en la Seguridad Social, encontrando su fundamento en la falta de acreditación del ejercicio de la función de ministro de culto retribuida y en exclusiva durante el periodo de carencia necesario para que se estimara la revisión de la pensión de jubilación que tenía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comenzar por indicar, como afirma la fiscal jefe ante el Tribunal Constitucional, que el supuesto de hecho que determinó la decisión del Tribunal Europeo de Derechos Humanos, en la sentencia de 3 de abril de 2012, asunto Manzanas Martín c. España, no guarda similitudes con las circunstancias apreciadas para denegar la revisión de la pensión de jubilación en las resoluciones administrativas y judiciales que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caso examinado por la STEDH de 3 de abril de 2012, asunto Manzanas Martín c. España—recurrente en aquel procedimiento— acreditó ser pastor de la Iglesia evangélica entre el 1 de noviembre de 1952 y el 30 de junio de 1991, fecha en que se jubiló, percibiendo una remuneración pagada por la comisión permanente de la Iglesia evangélica. Si bien, esta no pudo ingresar las cotizaciones a la Seguridad Social en nombre del demandante, dado que no estaba prevista esta posibilidad por la legislación vigente. Esa posibilidad sí estaba reconocida a los ministros de culto católicos en el Real Decreto 2398/1977, de 27 de agosto, desarrollado por la Orden de 19 de diciembre de 1977. La STEDH declaró que si bien las razones del retraso en la integración de los pastores evangélicos al régimen general de la Seguridad Social están incluidas en el margen de apreciación del Estado, el Gobierno no había justificado, las razones por las cuales, una vez efectuada dicha integración, se mantuvo una diferencia de tratamiento entre situaciones similares, basada solamente en razones de confesión religiosa [ap.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del relato de los hechos probados de la sentencia de 29 de marzo de 2016 del Juzgado de lo Social núm. 2 de Cádiz, resulta que al demandante de amparo se le reconoció la jubilación el 25 de enero de 2008, por treinta y dos años de cotización y una base del 94 por 100, computando su labor al servicio de la Iglesia evangélica, a los efectos del cálculo como periodo de cotización, desde el 15 de septiembre de 1986 al 30 de septiembre de 1991, desde el 11 de octubre de 1991 al 30 de abril de 1999 y desde el 1 de mayo de 1999 al 10 de enero de 2008. Como sostiene el recurrente, es claro que las cotizaciones efectuadas con anterioridad al 1 de mayo de 1999 no podían ser debidas a su labor como pastor evangélico —pese a lo que se indica en la sentencia del juzgado de lo social y comparte la sentencia de la Sala de lo Social del Tribunal Superior de Justicia de Andalucía—, pues tenían que proceder de la prestación de otros servicios para la Iglesia evangélica. En efecto la posibilidad de reconocimiento de cotizaciones como ministro de culto de la referida iglesia, proyectado a periodos anteriores al 1 de mayo de 1999 —momento en que entró en vigor el Real Decreto 369/1999, de 5 de marzo, conforme a su disposición final segunda— no se produjo hasta la aprobación del Real Decreto 839/2015, de 21 de septiembre, esto es más de siete años después de la fecha en que se le reconoció la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demandante de conformidad con el art. 2 del Real Decreto 369/1999, para poder cotizar como ministro de culto, debía acreditar que estaba dedicado “con carácter estable, a las funciones de culto o asistencia religiosa” y de modo retribuido. Tal acreditación “se efectuará mediante certificación expedida por la iglesia o federación de iglesias respectiva, debidamente inscrita en el registro de entidades religiosas. Esa certificación deberá acompañarse de la conformidad de la comisión permanente de la Federación de Entidades Religiosas Evangélicas de España”. Y es dicha prueba la que a juicio del auto de fecha 23 de enero de 2019 dictado por la Sala de lo Social del Tribunal Supremo, no se ha producido. En efecto, la Sala de lo Social del Tribunal Supremo descarta la contradicción con la sentencia de contraste en lo que al cómputo de periodos de cotización se refiere al no existir razón alguna para que el ejercicio de la función de ministro de culto para la Iglesia evangélica fuera con plena dedicación y percibiendo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puede afirmar que en el presente caso no ha existido una diferencia de trato en el ámbito del reconocimiento de la pensión de jubilación entre el recurrente y quienes ejercen como ministros de culto de otras confesiones religiosas. La necesidad de acreditar el desarrollo de una actividad pastoral de modo estable y retribuido como base del reconocimiento del periodo de carencia es una exigencia que se aplica por igual para el cómputo de la pensión de jubilación a quienes ejercen como ministros de culto con independencia de la confesión religiosa a la que sirvan. Es más pretender dispensar de esta exigencia al recurrente que ejerció como ministro de culto para la Iglesia evangélica podría suponer la introducción de un elemento diferenciador carente de fundamento racional en relación con los ministros de culto de otras confesiones religiosas, pues el principio de contributividad justifica que las bases reguladoras de las prestaciones de seguridad social se calculen en función de lo efectivamente cotizado [STC 91/2019, de 3 de julio, FJ 6 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José Luis Gonzalo Troncoso Freiría contra el auto de la Sala de lo Social del Tribunal Supremo de 23 de enero de 2019, dictado en el recurso de casación para unificación de doctrina núm. 2549-2018, y contra la sentencia de la Sala de lo Social del Tribunal Superior de Justicia de Andalucía, sede de Sevilla, de 21 de diciembre de 2017, dictada en el recurso núm. 127-2017-L.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