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500-2019, promovido a instancia de doña Pilar Prado Torres, representada por el procurador de los tribunales don Manuel María Martínez de Lejarza Ureña y asistida por el letrado don Jesús Manuel Guzmán Ruiz, contra la sentencia de 5 de diciembre de 2018 de la Sala de lo Social del Tribunal Superior de Justicia de Andalucía, dictada en el recurso de suplicación núm. 1546-2018, y la sentencia de 10 de mayo de 2018, del Juzgado de lo Social núm. 6 de Málaga, recaída en los autos núm. 100-2018. Ha comparecido y efectuado alegaciones la agencia pública empresarial sanitaria Costa del Sol, representada por la procuradora de los tribunales doña Úrsula Cabezas Manjavacas y defendida por el letrado don Andrés Sedeño Ferrer.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23 de enero de 2019 tuvo entrada en el registro general de este tribunal la demanda de amparo presentada por el procurador de los tribunales don Manuel María Martínez de Lejarza, en nombre y representación de doña Pilar Prados Torres, contra las resoluciones judiciales antes mencionadas por las que se desestimó su demanda frente a la agencia pública empresarial sanitaria Costa del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de amparo y que son recogidos en el relato de hechos probados de las resoluciones judiciales recurridas, sucintamente expuestos, son los que a continuación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Pilar Prados Torres (en adelante, la recurrente) viene prestando servicios como médico del servicio de urgencias en el hospital Costa del Sol de Marbella (Málaga). La jornada anual ordinaria para los médicos de urgencias es de 1523 horas (siete horas al día), a lo que se unen 440 horas más en concepto de jornada anual complementaria, por realización de guardias (cuarenta y cuatro guardias de diez horas cada una de ellas). Estas guardias, que resultan obligatorias, generan un descanso en el día posterior —saliente de guardia— de veinticuatro horas, y de ellas, se computan como trabajadas siete horas por saliente. En las citadas 1523 horas anuales de jornada se encuentran incluidas no solo las horas realmente realizadas, sino también la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29 de noviembre de 2017, la recurrente solicitó a la empresa una reducción de su jornada laboral para atender al cuidado de hijo en un 33 por 100, al amparo del art. 37.6 del texto refundido de la Ley del estatuto de los trabajadores y del art. 23 del convenio colectivo de la agencia pública empresarial sanitaria Costa del Sol. La reducción solicitada se aplicó en términos anuales, de tal forma que las horas trabajadas por cada jornada y cada guardia no sufrieron reducción alguna (siete y diez horas, respectivamente), sino que lo que se vio afectado fue el número total de días y guardias al año, pasando a ser treinta guardias y 1020,41 horas de jornada habitual al año (en lugar de las cuarenta y cuatro y 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del director gerente de la agencia pública empresarial sanitaria Costa del Sol, de 29 de diciembre de 2017, se le reconoció a la recurrente el derecho a la reducción de jornada en un 33 por 100 con efectos desde el 1 de enero de 2018, fijándose la jornada ordinaria reducida a realizar en 879,71 horas anuales. Habiéndose fijado una cantidad de horas superior a la calculada por la recurrente, presentó reclamación previa que fue desestimada mediante resolución de 16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Disconforme con el cálculo de la jornada reducida que había realizado su empleadora, la recurrente presentó demanda en materia de reducción de jornada a la que acumuló acción de daños y perjuicios, así como de tutela de derechos fundamentales y libertades públicas. En ella denunció la existencia de una desigualdad de trato entre trabajadores a tiempo completo y con jornada reducida debido al diferente modo en el que se computó el trabajo efectivo derivado de cada saliente de guardia al calcular la reducción de su jornada laboral. Si cada guardia de diez horas debía generar siete horas de descanso retribuido efectivo por saliente de guardia (lo que debía suponerle 210 horas por realizar treinta guardias), según los cálculos realizados por la empresa tan solo se le debían reconocer 140,7 horas. Tal diferencia se debía a que la empresa aplicaba también la reducción del 33 por 100 (esto es, el porcentaje de reducción de jornada solicitado) sobre el descanso retribuido por saliente de guardia. Se solicitó, en consecuencia, que se reconociese la infracción del art. 14 CE y que se aceptase la reducción en los términos interesados, sobre la base de que teniendo las guardias la misma duración, el descanso retribuido por saliente de guardia debía ser el mismo en situación de reducción de jornada. Además, reclamó una indemnización de 1000 € por cada jornada que la empresa le obligase a hacer de más, y otra de 6250 € en concepto de daños por la lesión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mediante sentencia del Juzgado de lo Social núm. 6 de Málaga, de 10 de mayo de 2018, que descartó que se hubiese producido un error en el cálculo efectuado por la empresa en la determinación del número de horas anuales que debía prestar servicios la actora atendiendo a la reducción de la jornada en un 33 por 100. En tal sentido, se señaló que las guardias se le redujeron de cuarenta y cuatro a treinta, y que las horas de “saliente de guardia” se disfrutaban e imputaban dentro de la jornada ordinaria, por lo que a esta última (1523 horas) se habían de restar, como así hizo la empresa, las 210 horas de “salientes de guardia” (ya reducida), lo cual daba un resultado de 1313 horas, cantidad sobre la que debía aplicarse después la reducción de jornada del 33 por 100. En suma, el juzgado concluyó que la jornada anual de la actora, una vez reducida en tal porcentaje, era de 879,71 horas, tal y como había calculado la demandada. No apreciándose error en los cálculos, se negó la existencia de la discriminación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recurrente presentó dos escritos solicitando la aclaración y complemento de la sentencia del juzgado al amparo del art. 267 Ley Orgánica del Poder Judicial (LOPJ) con relación a dos extremos, a saber, de un lado, la existencia de un error en la fundamentación, al afirmarse que la actora no había alegado en su demanda la existencia de una condición más beneficiosa; y, de otro lado, la falta de pronunciamiento sobre una de las peticiones declarativas de derechos realizadas en la demanda. Se accedió a la primera aclaración mediante auto del juzgado, de 21 de mayo de 2018, que procedió a la subsanación del error advertido en la fundamentación de la sentencia, siendo desestimada la otra petición de complemento de la sentencia por medio de auto de 17 de mayo de 2018, por incompatibilidad de la petición con el objeto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citada sentencia la recurrente formuló recurso de suplicación, que fue desestimado mediante sentencia de la Sala de lo Social del Tribunal Superior de Justicia de Andalucía, sede de Málaga, de 5 de diciembre de 2018, que confirmó lo decidido en la instancia al considerar que el cálculo realizado por la demandada era correcto ya que procedía aplicar la reducción del 33 por 100 no solo a la jornada ordinaria sino también a las horas de trabajo efectivo reconocidas por saliente de guardia. En consecuencia, se negó la infracción del art. 14 CE y se rechazó el derecho a la indemnización reclamada por lesión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recurrente presentó escrito al amparo del art. 267.5 LOPJ quejándose de que se había procedido a convalidar el cómputo realizado por la administración demandada sin llegar a analizarse el fondo del recurso, esto es, la discriminación que suponía la aplicación de dicho cómputo en relación con los demás trabajadores. Se indicó, en tal sentido, que eran seis los argumentos de esa parte para sustentar la discriminación y que no se había contestado a ninguno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medio de auto de 13 de diciembre de 2018 se desestimó la solicitud de complemento de sentencia al no compartir la Sala la valoración realizada por la parte actora. Se subrayó que en la sentencia cuestionada se había considerado por la Sala que el cálculo realizado por la demandada, utilizando un parámetro distinto al de la actora, era correcto y desmontaba la supuesta discriminación alegada. Y que, de no estar de acuerdo la parte con la argumentación ofrecida al respecto, podía acudir al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frente a la sentencia de 5 de diciembre de 2018 de la Sala de lo Social del Tribunal Superior de Justicia de Andalucía (recurso núm. 1546-2018) y la sentencia de 10 de mayo de 2018, del Juzgado de lo Social núm. 6 de Málaga (autos núm. 100-2018) por vulneración del derecho a la igualdad y no discriminación (art. 14 CE) como consecuencia del ejercicio del derecho a la reducción de jornada por cuidado de hijos. Afirma la parte recurrente que al calcular la empresa la reducción de la jornada solicitada realiza un cómputo de los salientes de guardia que quebranta el referido derecho fundamental, ya que por un mismo trabajo (guardias obligatorias de diez horas) las trabajadoras con jornada reducida obtienen un menor tiempo de descanso retribuido.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después cuál es, al amparo del convenio colectivo aplicable, la jornada laboral del resto de trabajadores que comparten con la recurrente (médico de urgencias en el hospital Costa del Sol de Marbella) el mismo centro de trabajo, condiciones y categoría. Aclara que cuando se realiza la jornada de forma completa se trabajan 1523 horas ordinarias, a lo que hay que añadir una jornada complementaria obligatoria consistente en cuarenta y cuatro guardias anuales de diez horas cada una durante el turno de noche. Cada guardia genera el descanso de las veinticuatro horas siguientes (saliente de guardia) en el día posterior al que se realiza la guardia, así como el reconocimiento de siete horas como efectivamente trabajadas. Esas siete horas de saliente de guardia son horas que están incluidas en las 1523 horas de la jornada sin guardias.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precisa la recurrente que la reducción de jornada se realiza de forma anual y no en cómputo diario, de forma que no se reducen las jornadas ni las guardias, sino que se le asigna a la trabajadora un número menor de unas y otras, proporcional a la reducción solicitada. Es decir, la jornada sigue siendo de siete horas cada una y cada guardia mantiene su duración de 10 horas. De este modo, si un trabajador solicita reducción de jornada, por ejemplo, al 67 por 100, la empresa le exige realizar el 67 por 100 de las 1523 horas, más el 67 por 100 de las jornadas complementarias (guardias). Si bien todos los trabajadores que hacen guardias de diez horas (como la actora) y que no tienen reducción de jornada tienen derecho a descansar en las veinticuatro horas siguientes (saliente de guardia) siendo retribuidas siete horas por cada saliente, en su caso, a pesar de trabajar el mismo número de horas por cada guardia que cualquier otro trabajador (diez horas), no se le reconocen las siete horas de descanso retribuido ligadas a cada saliente, sino tan solo 4,69 horas al aplicar la empresa también la reducción de jornada solicitada (33 por 100) a tales horas de saliente. Se produce, por consiguiente, una evidente y flagrante discriminación derivada de la situación de reducción de jornada para la conciliación familiar, que, además, afecta especialmente a las mujeres ya que porcentualmente son el colectivo que en mayor número solicita tal reducción, aunque la norma no haga distinción y sea un derecho que también corresponde a los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la recurrente compara el distinto modo en el que cada una de las partes computan los salientes de guardia, por cuanto que sobre los hechos no existe discrepancia alguna entre ellas. Según los cálculos realizados por la actora, al aplicar la reducción del 33 por 100 solicitada, la jornada a realizar es de 810,41 horas. A resultas de aplicar el referido porcentaje a la jornada ordinaria y al número de guardias, se obtienen las cifras de 1020,41 horas ordinarias de trabajo y treinta guardias. Dado que cada guardia (de diez horas) le genera siete horas de descanso retribuido al trabajador, las treinta guardias le suponen un total de 210 horas de descanso retribuido, cantidad que se debe restar de la jornada a realizar (1020,41 menos 210 horas), dando como resultado la jornada antes señalada de 810,41 horas. A esa jornada habría que añadir la jornada complementaria (por guardias) que ascendería a 300 horas más (al tener que realizar trreinta guardias de diez horas). Los cálculos de la empresa arrojan una jornada más elevada, a saber, de 879,71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estriba, como se ha dicho, en el modo en el que se calculan los salientes de guardia. Las treinta guardias no generarían, a juicio de la empresa, 210 horas de descanso retribuido sino tan solo 140,7 horas, al aplicar la reducción del 33 por 100 sobre esas horas de saliente de guardia. Señala la recurrente que con tal cálculo, lo que hace la demandada es aplicarle una doble reducción desfavorable y que produce discriminación, en tanto que, primero reduce en un 33 por 100 el número de guardias a realizar (pasando de cuarenta y cuatro a treinta), para después proceder nuevamente a la reducción al aplicar sobre las 210 horas resultantes de cada saliente de guardia el 33 por 100. Ciertamente, según los cálculos de la demandada, a las 1523 horas ordinarias le resta 210 horas (treinta guardias por siete horas de descanso retribuido por guardia), y al resultado de esta operación (1313), que la empresa denomina horas disponibles, le aplica la reducción del 33 por 100, dando como resultado 879,71 horas. Con ello, los salientes de guardia no generarían 7 horas de trabajo efectivo por cada guardia de diez horas, tal y como se reconoce al resto de trabajadores, sino que en su caso tan solo supondrían 4,69 horas por guardia. En definitiva, de todo ello se puede deducir que por el mismo número de guardias (horas de trabajo en cada guardia) la trabajadora con reducción de jornada obtiene una compensación menor al tener que trabajar más que otros trabajadores (la diferencia está en sesenta y nueve horas anuales), añadiendo que los cálculos propuestos por la empresa resultan erróneos ya se calcule la reducción por días o anualmente. Se señala que el principal argumento de la demandada es que si tuviera la trabajadora la jornada reducida diaria, las horas que disfrutarían de saliente de guardia serían 4,69 horas por cada guardia, lo que es cierto, señala la recurrente, pero siempre que el cálculo se realice sobre cuarenta y cuatro guardias, y no sobre las guardias ya reducidas (treinta). De otro modo, se le aplica injustificadamente una doble reducción.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puntualiza la recurrente que la discriminación denunciada se produciría con relación al resto de los trabajadores a tiempo completo y a los trabajadores que no tienen que realizar guardias. Con referencia a los primeros, por cuanto que tendrían un mayor número de horas por saliente de guardia realizando las mismas horas de guardia que las trabajadoras con reducción de jornada. Indica la recurrente que resulta evidente que siendo la realización de las guardias obligatoria, y teniendo siempre la misma duración de diez horas, que el descanso remunerado sea de menos horas para un colectivo supone una evidente discriminación. Respecto de los segundos, señala que los únicos trabajadores que estando en reducción de jornada no tienen que realizar guardias son los que están en estado de gestación, tienen más de cincuenta y cinco años, o un hijo menor de un año. Estos trabajadores, al estar exentos de guardias trabajan 1523 horas o la parte proporcional de las mismas en función de su reducción de jornada.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considera la recurrente paradójico que cuanto más reducción de jornada se aplica, más perjudicado sale el trabajador en relación al cómputo de las horas de descanso por saliente de guardia. Y recuerda que si bien las trabajadoras con reducción de jornada perciben en su nómina la misma cuantía por las guardias realizadas (en el bien entendido que cobran treinta guardias en lugar de cuarenta y cuatro), la retribución globalmente considerada, sin embargo, varía al constar menos horas ordinarias de trabajo efectivo debido al cálculo que la empresa realiza de los salientes de guardia. Con ello, se viene a dificultar al trabajador tomar la decisión de reducir la jornada para cuidado de hijos, al reducirse también de forma claramente discriminatoria sus derechos laborales en relación con el resto de trabajadores. En otras palabras, por el mismo trabajo se les compensa con menor contraprestación a las trabajadoras que, como la recurrente, están en situación de reducción de jornada para el cuidado de hijos y tienen la obligación de realizar guardias. El amparo que se solicita de este Tribunal es, por consiguiente, que se exija a la empresa demandada que aplique de forma no discriminatoria el derecho a la reducción de jornada por cuidado familiar a los trabajadores que así lo solicitan en relación con el cómputo de horas que se convalidan como horas de trabajo efectivo en los salientes de guardia. De esta forma, si una hora de guardia de un trabajador a tiempo completo da lugar a 0,7 horas de saliente, no puede dar lugar a 0,49 horas a una persona con reducción de jornada. Solicita posteriormente que también se le indemnice por la cantidad señalada en la demanda como consecuencia de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2019, la Sala Primera, Sección Segunda, de este tribunal, acordó la admisión a trámite del recurso de amparo, apreciando que “concurre en el mismo una especial trascendencia constitucional [art. 50.1 de la Ley Orgánica del Tribunal Constitucional (LOTC)] porque el recurso plantea un problema o una faceta de un derecho fundamental sobre el que no hay doctrina de este Tribunal [STC 155/2009, FJ 2 a)] y puede dar ocasión al Tribunal para aclarar o cambiar su doctrina como consecuencia de un proceso de reflexión interna [STC 155/2009, FJ 2, b)]”. Por ello, en aplicación de lo dispuesto en el art. 51 LOTC, acordó dirigir atenta comunicación a la Sala de lo Social del Tribunal Superior de Justicia de Andalucía, con sede en Málaga, a fin de que en el plazo que no excediese de diez días, remitiese certificación o fotocopia adverada de las actuaciones correspondientes, al recurso de suplicación núm. 1546-2018. Asimismo, acordó lo propio con relación al Juzgado de lo Social núm. 6 de Málaga a fin de que remitiese los autos núm. 100-2018 y emplazase a quienes hubiesen sido parte en el procedimiento, excepto a la recurrente en amparo, para que, en el plazo de diez días pudieran comparecer si lo deseaban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que tuvo entrada el día 18 de noviembre de 2019 en el registro general de este Tribunal, la procuradora de los tribunales doña Úrsula Cabezas Manjavacas, en nombre y representación de la agencia pública empresarial sanitaria Costa del Sol, solicitó que se tuviera a esa parte como personada en el recurso de amparo y se entendieran con ella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22 de noviembre de 2019, se tuvo por personada y parte a la procuradora doña Úrsula Cabezas Manjavacas en nombre y representación de la agencia pública empresarial sanitaria Costa del Sol y, a tenor de lo dispuesto en el art. 52 LOTC, en la misma diligencia se acordó dar vista de todas las actuaciones recibidas a las partes personadas y al Ministerio Fiscal, por un plazo común de veinte días,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3 de enero de 2020, doña Úrsula Cabezas Manjavacas, en la representación que ostenta, presentó su escrito de alegaciones en el registro general de este Tribunal solicitando la desestimación del recurso de amparo. Comienza indicando que en la vía judicial se han planteado demandas sobre idéntica cuestión por otras trabajadoras del mismo centro de trabajo, y que todas, al igual que la recurrente en amparo, han obtenido pronunciamientos desestimatorios de la pretensión formulada en las dieciséis sentencias de los juzgados de lo social que se han ido dictando. Dicho esto, subraya que en el recurso de amparo la infracción constitucional se centra en la forma en que se ha realizado por la demandada el cómputo de la jornada de la trabajadora, y que lo que postula la parte actora es que se realice un cálculo distinto que le resulta más favorable a sus intereses. Tal cuestión no incidiría, sin embargo, en el ámbito de los derechos fundamentales desde el momento en que la discusión se centra en un cálculo matemático relativo a una distinta interpretación sobre el número de horas efectivas de trabajo y en donde la discrepancia principal, por lo tanto, se centraría en la forma de computar las horas generadas por saliente de guardia. En tal sentido, señala que para que existiera una incidencia en el derecho fundamental sería preciso que el acto empresarial hubiera tenido la intención de discriminar a la demandante o, que sin tenerla, hubiera incidido en la esencia del derecho fundamental. Tales circunstancias no se habrían producido, dado que ni el acto discutido resultaría arbitrario (al ser posibles varias interpretaciones para realizar el cálculo), ni de calificarse como erróneo habría afectado al derecho de la recurrente a solicitar la reducción de jornada y a no ser discriminada por ello, pues en ningún momento se le ha denegado tal derecho. Con base en ello, se afirma que la cuestión debatida en los autos resulta de mera legalidad ordinaria (forma en que debe computarse la reducción de jornada) y que lo que la actora está exigiendo es un derecho a la diferenciación, esto es, tener un trato distinto de los demás trabajadores por tener jornada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se reitera que no se discute el derecho a la reducción de jornada, que ha sido reconocido e incluso favorecido por la entidad demandada, sino que la discrepancia entre las partes gira en torno al cálculo de la jornada reducida y al impacto que ha de tener en él los descansos retribuidos por saliente de guardia. Mientras que la reducción del 33 por 100 según los cálculos empresariales da lugar a una jornada de 879,71 horas al año, en el cómputo de la trabajadora resulta solo de 810,41 horas. Se considera que el cálculo realizado por la recurrente es erróneo, pues la reducción del 33 por 100 ha de operar también sobre los salientes de guardia, pues, de otro modo, los parámetros del cálculo no resultarían homogéneos. Se subraya que la jornada diaria no es de 7 horas sino de 4,69 horas una vez aplicada la reducción, y que por cada saliente corresponde a la actora el cómputo como trabajo efectivo de 4,69 horas. Al reclamar siete horas por saliente, la trabajadora estaría solicitando una reducción mayor que la que realmente le corresponde (un 38,25 por 100 en lugar del 33 por 100). Por consiguiente, se niega que el cálculo realizado por la empresa resulte discriminatorio para las trabajadoras con reducción de jornada y se señala que si el cálculo de la reducción se hiciese de forma diaria y no anual, como establece el estatuto de los trabajadores, el resultado sería idéntico al realizado por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termina indicando que al no haber vulneración de derechos fundamentales no procede el reconocimiento de indemnización alguna. En cualquier caso, y dado que la recurrente insiste en ese punto, se manifiesta que la que se solicita y se fija en relación al art. 8.12 de la Ley sobre infracciones y sanciones del orden social no procedería y que, además, el art. 183 de la Ley reguladora de la jurisdicción social exige que se establezca prudencialmente en caso de que la prueba de su importe exacto sea muy difícil. La actora, sin embargo no ha realizado el más mínimo esfuerzo en plantear los parámetros para el cálculo de la indemnización, lo que provoca indefensión a la parte demandada, máxime cuando no hay daño alguno que indemnizar.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17 de diciembre de 2019 el procurador de los tribunales don Manuel María Martínez de Lejarza Ureña, en representación de doña Pilar Prados Torres, presentó escrito de alegaciones ratificándose en las realizadas en la demanda de amparo. Asimismo, adjuntó con el escrito un informe pericial en el que se analiza matemáticamente el controvertido cómputo de las guardias de las trabajadoras en reducción de jornada por cuidado de hijos y/o familiares, con el fin de avalar los cálculos realizados por esa parte en su recurso de amparo. Se termina solicitando que se estime el recurso de amparo reconociéndose a la recurrente la vulneración del derecho a la igualdad y a la no discriminación, con nulidad de las sentencias recurridas y el reconocimiento de la indemnización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8 de enero de 2020, presentó sus alegaciones el Ministerio Fiscal. Antes de analizar el fondo de la cuestión realiza una observación previa en cuanto al objeto del enjuiciamiento. Indica que aunque la demanda se dirige expresamente contra las sentencias del juzgado de lo social y del Tribunal Superior de Justicia, dado que las mismas se limitan a confirmar las resoluciones de un ente que forma parte de la administración pública, integrado en la Consejería de Sanidad de la Junta de Andalucía, lo que se imputa a las sentencias impugnadas en la demanda de amparo no es haber vulnerado por sí mismos los derechos a la igualdad ante la ley y a no sufrir discriminación por razón de sexo, sino no haber reparado la vulneración ya producida en las resoluciones del ente público. Por tal motivo, el fiscal considera aplicable la doctrina sentada en la STC 15/2011, de 28 de febrero, FJ 2, relativa a decisiones judiciales desestimatorias que no alteran la situación jurídica creada por el acto de la administración presuntamente lesivo del derecho fundamental, y que no son, por tanto, en sí mismas causas de lesión. No encontrándonos en un amparo contra decisiones judiciales (art. 44 LOTC), sino en el caso de un amparo contra una resolución administrativa (art. 43 LOTC), el plazo para la interposición del recurso de amparo sería de veinte días y no de treinta. Así las cosas, habiendo sido notificado el auto del Tribunal Superior de Justicia de Andalucía, de 13 de diciembre de 2018 (que desestimó la solicitud del complemento de sentencia) el 18 de diciembre de 2018, a las 15:27:34, el tiempo válido para interponer el recurso de amparo se extendía hasta el 23 de enero de 2019 a las quince horas, y habiendo tenido entrada en el Tribunal Constitucional el recurso de amparo el día 23 de enero de 2019 a las 19:56:01, estaría presentado fuera de plazo y procedería acordar su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para el caso de que se considerase temporáneo, el fiscal pasa a analizar el fondo del asunto planteado, no sin antes referirse a la doctrina constitucional que considera aplicable al caso, relativa al derecho a la igualdad (resumida recientemente en la STC 91/2019, de 3 de julio), a la discriminación por razón de sexo en el ámbito laboral (STC 214/2006, de 3 de julio), y a la discriminación indirecta (con cita, nuevamente, de la STC 91/2019). Señala que la diferencia de trato o discriminación alegada por la actora consistiría en que a los trabajadores con jornada reducida se les abonaría menos horas de descanso retribuido por saliente de guardia que a los de a tiempo completo, cuando la duración de las guardias en ambos supuestos es idéntica (diez horas). En el caso de la demandante (con una reducción de jornada del 33 por 100) se le abonarían solo 4,69 horas por guardia de diez horas, mientras que los trabajadores sin reducción de jornada obtendrían siete horas por guardias de la misma duración. La cuestión a dilucidar, por lo tanto, es si trabajando ambos colectivos en los servicios de guardia durante diez horas ininterrumpidas en la misma franja horaria, sin diferencia alguna en el servicio que prestan en cada guardia, es contrario al art. 14 CE que se reduzcan las horas de descanso remunerado de los trabajadores que tienen reducción de jornada en la misma proporción en que tienen reducida su jornada ordinaria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fiscal que el sistema de cálculo utilizado por la empresa implica, como dice la demandante, una doble reducción. En efecto, no solo reduce en un 33 por 100 el número de guardias anuales a realizar (que pasan de cuarenta y cuatro a treinta guardias al año), sino que después se vuelve a aplicar la reducción del 33 por 100 al calcular las horas de descanso retribuido por cada saliente de guardia al no atribuirle a la trabajadora 7 horas por guardia (como ocurre con los trabajadores a tiempo completo), sino sólo 4,69 (al aplicar la reducción del 33 por 100 también a las siete horas de descanso retribuido que genera cada guardia). Por consiguiente las 30 guardias no le generan a la actora 210 horas de descanso retribuido, sino solo 140,7. Este modo de cálculo obvia la circunstancia de que las guardias tienen siempre la misma duración (diez horas), ya sean realizadas por trabajadores a tiempo completo como con jornada reducida. Y siendo así, el abono del descanso por guardia no puede ser menor para los trabajadores que, fuera de cada servicio de guardia concreto, tienen reducción de jornada, porque en cada una de las guardias que realizan su jornada es completa al trabajar las mismas diez horas que el resto de los trabajadores. Y subraya después el fiscal que la diferencia de trato que se advierte resulta mayor cuanto mayor es la reducción de jornada ordinaria que se le ha concedido al trabajador, pues la reducción del abono se hace en la misma proporción que la reducción de jornada. De este modo, incluso entre los trabajadores con reducción de jornada se produciría una diferencia de trato según el tanto por ciento de reducción de jornada al que se hubieran acogido.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posteriormente que la empresa justifica la disminución de abono de horas de descanso remunerado por guardia a los trabajadores a tiempo parcial con el argumento de que como lo que se les debe abonar es una jornada y las horas de su jornada ordinara están reducidas al 33 por 100, se debe reducir en la misma proporción las horas a retribuir por cada servicio de guardia. Señala el fiscal que ese argumento justificaría la reducción si lo que se redujera para la demandante fuera la duración de cada guardia, de tal modo que si trabajase un 33 por 100 menos en cada guardia, procedería también reducir en igual porcentaje las horas de descanso retribuido por guardia. Hay que tener en cuenta que el abono de horas de descanso remunerado por guardia está determinado por las horas de la jornada de guardia, siendo una remuneración por lo penoso de la guardia. No tiene, por lo tanto, relación con las horas de jornada ordinaria. Si una jornada de guardia no se reduce (es una jornada completa de diez horas), no hay reducción de la penosidad, y, por lo tanto, no hay justificación para reducir las horas remuneradas de la jornada de descanso (una jornada completa de siete horas) por haber realizado esa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razonado deduce que la diferencia de trato resulta injustificada porque ambos colectivos trabajan las mismas horas durante la jornada de guardia y, sin embargo, con el sistema aplicado por la empresa se abonan a la recurrente y a los demás trabajadores que están con reducción de jornada menos horas de descanso remunerado por guardia que a los trabajadores con jornada completa. Asimismo, el fiscal considera que también concurre en este caso una discriminación indirecta por razón de sexo en tanto que siendo las mujeres las que principalmente se encargan de la atención de los menores, por lógica son las que en mayor medida utilizan la reducción de jornada para atender al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la estimación del recurso, el fiscal considera que además de proceder a declarar nulas las sentencias directamente impugnadas, procede también acordar la nulidad de las resoluciones administrativas que produjeron directamente la vulneración de los derechos constitucionales mencionados y que luego fueron convalidadas por las sentencias impugnadas. Ahora bien, respecto a la petición de indemnización por la declaración de la existencia de la vulneración (art. 183 de la Ley reguladora de la jurisdicción social), el fiscal considera que la valoración de los perjuicios a que se refiere dicho precepto es una problemática de legalidad ordinaria, y, por lo tanto, no es una cuestión que deba ser resuelta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febrero de 2020, el Pleno de este tribunal, a propuesta del presidente, conforme a lo establecido en el art. 10.1 n) LOTC, acordó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junio de 2020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 La recurrente en amparo, médico del servicio de urgencias del hospital Costa del Sol de Marbella (Málaga), dependiente de la agencia sanitaria Costa del Sol (entidad de Derecho público adscrita a la Consejería de Salud de la Junta de Andalucía), venía realizando una jornada ordinaria de 1.523 horas de trabajo (a razón de siete horas al día) y otra complementaria como consecuencia de la realización obligatoria de cuarenta y cuatro guardias al año (en horario nocturno, con una duración de diez horas), cada una de las cuales, no solo generaba al día siguiente (“saliente de guardia”) un descanso de veinticuatro horas, sino que, a efectos retributivos, se tomaban siete de esas horas como de trabajo efectivo (descanso retribuido). De este modo, en el cómputo anual de las 1523 horas de jornada ordinaria quedaban incluidas las 308 horas generadas por los “salientes de guardia”. Posteriormente, solicitó la aplicación de la reducción de jornada por motivos de guarda legal para el cuidado de los hijos menores de doce años (en un 33 por 100) prevista tanto en el art. 37.6 del texto refundido de la Ley del estatuto de los trabajadores, aprobado por el Real Decreto Legislativo 2/2015, de 23 de octubre (en lo sucesivo, LET), como en el art. 23 del convenio colectivo de la citada agencia. En aplicación de tal previsión, la empleadora procedió a reducirle, en la misma proporción, el número de horas de su jornada ordinaria (que pasó de 1523 a 1020,41 horas), el número de guardias médicas obligatorias (que pasó de cuarenta y cuatro a treinta), así como el número de horas de descanso retribuido computables por cada saliente de guardia (reduciéndolo de siete a 4,69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demandante, la reducción aplicada sobre el descanso retribuido por guardia médica es contraria al principio de igualdad y no discriminación del art. 14 CE. A su juicio, tal decisión empresarial —avalada por las resoluciones judiciales impugnadas— produce una diferencia de trato injustificada entre trabajadores a tiempo completo y trabajadoras con jornada reducida, de manera que, a igualdad de jornada (guardia médica obligatoria de diez horas), recibe una menor compensación por cada “saliente de guardia” (de 4,69 horas en lugar de siete horas), de modo que tiene que trabajar 69,30 horas más en términos anuales (un total de 879,71 horas en lugar de 810,41 horas). Además, podría producirse también una discriminación indirecta por razón de sexo, en la medida que el trato desigual denunciado vendría motivado por el ejercicio de un derecho (el de reducción de jornada para el cuidado de hijos) que, aunque reconocido legalmente tanto a los hombres como a las mujeres, se ejercita mayoritariamente por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demandada, por el contrario, rechaza que se hayan visto afectados los derechos fundamentales invocados, y señala que en el recurso se plantea tan solo una cuestión de legalidad ordinaria atinente al cálculo de la jornada reducida, que permite diversas interpretaciones y que, en todo caso, habría sido realizado correctamente por la empresa. Por su parte, el fiscal, partiendo de que se ha planteado un recurso de amparo por la vía del art. 43 LOTC frente a un acto administrativo, propone la inadmisión del recurso por extemporáneo al considerar que se ha presentado una vez transcurrido el plazo de veinte días al que está sujeta su interposición. No obstante, y para el caso de que no se aprecie la concurrencia del citado óbice de admisibilidad, interesa el otorgamiento del amparo por considerar que el sistema de cálculo empleado por la parte demandada para fijar la jornada reducida de la recurrente en amparo produce una diferencia de trato contraria al art. 14 CE, en su doble vertiente de derecho a la igualdad y prohibición de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En la providencia de admisión a trámite del recurso de amparo se apreció que concurría en el mismo la especial trascendencia constitucional prevista en los apartados a) y b) del fundamento jurídico 2 de la STC 155/2009, de 25 de junio. Ciertamente, este Tribunal valoró, de un lado, que el recurso planteaba un problema o faceta de un derecho fundamental susceptible de amparo sobre el que no hay doctrina de este Tribunal, en la medida en que en este caso se denuncia una diferencia de trato en materia retributiva entre trabajadores a tiempo completo y parcial, derivada del ejercicio de derechos asociados con la maternidad. De otro lado, el recurso permitía además aclarar la doctrina existente sobre la discriminación indirecta por razón de sexo pues, aun cuando existen pronunciamientos diversos de este Tribunal sobre tal tipo de discriminación, el Tribunal tiene la oportunidad de insistir en la necesidad de cumplimiento de su jurisprudencia en la materia, abundando para ello en sus parámetros generales y concreción aplicativa, evitando, en lo posible, dudas ulteriores sobre su alcance que puedan dar lugar a inaplicaciones objetivas de la misma (STC 146/2019,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Óbice de procedibilidad: extemporaneidad de la demanda. Antes de entrar a analizar la vulneración denunciada en el presente proceso de amparo, es necesario dar respuesta al óbice de procedibilidad opuesto por el fiscal. Partiendo de que la queja de la recurrente se ubica en el ámbito del art. 43 LOTC por dirigirse frente a una decisión administrativa, considera que el recurso resulta inadmisible por extemporáneo, al haberse formulado fuera del plazo de interposición de veinte días [art. 50.1 a) en relación con el art. 43.2 LOTC]. En efecto, habiéndose notificado el auto del Tribunal Superior de Justicia de Andalucía de fecha 13 de diciembre de 2018 (desestimatorio de la solicitud del complemento de sentencia) el día 18 de diciembre de 2018, el tiempo válido para interponer el recurso de amparo se extendía hasta las 15:00 horas del día 23 de enero de 2019, cuando lo cierto es que el recurso de amparo tuvo entrada en este Tribunal Constitucional a las 19:56:01 de ese mismo día 23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recordar, a este respecto, que el plazo de interposición del recurso de amparo es “de caducidad, improrrogable y no susceptible de suspensión y, por consiguiente, de inexorable cumplimiento”, por lo que no consiente prolongaciones artificiales ni puede quedar al arbitrio de las partes (entre muchas, SSTC 85/2004, de 10 de mayo, FJ 2; y 41/2009, de 9 de febrero, FJ 3). Ahora bien, de cara a la determinación del concreto plazo de interposición del recurso de amparo es imprescindible analizar primero, la naturaleza de la decisión que ha originado la queja de la recurrente, para dilucidar si se trata de un acto administrativo impugnable a través de la vía del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el acto al que se imputa la lesión del derecho fundamental previsto en el art. 14 CE emana de la agencia pública empresarial sanitaria Costa del Sol. Pues bien, sin que sea este el momento de realizar un minucioso estudio de la naturaleza jurídica de la citada “agencia” y de los actos que realiza, hay que tener en cuenta que nos encontramos ante una entidad de Derecho público adscrita a la Consejería de Salud de la Junta de Andalucía, entre cuyas funciones está la gestión y administración del hospital Costa del Sol de Marbella [art. 6.b) 1 de los estatutos de la agencia pública empresarial sanitaria Costa del Sol, aprobados por el Decreto 98/2011, de 19 de abril (“Boletín Oficial de la Junta de Andalucía” núm. 83, de 29 de abril)], en el que presta sus servicios la recurrente en amparo. Tal entidad, a pesar de tener naturaleza pública, se rige por el Derecho privado en todos los actos que realiza, salvo los que estén relacionados con la formación de la voluntad de sus órganos y con el ejercicio de las potestades administrativas que tiene atribuidas (arts. 9, 10 y 11 de la Ley del Parlamento de Andalucía 1/2011, de 17 de febrero, de reordenación del sector público de Andalucía, y 30 y 31 de sus estatutos). En consonancia con ello, la agencia se rige por las normas procesales comunes sobre competencia y jurisdicción “aplicables a las personas de Derecho Privado”, sin perjuicio de las especialidades que pudieran proceder en virtud de su naturaleza de entidad de Derecho público (art. 31.1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que antecede, hay que precisar que la resolución cuestionada no es fruto del ejercicio de potestades administrativas de la agencia demandada, al tratarse de un mero acto de gestión del personal laboral empleado en los hospitales a ella adscritos, que se rige por el estatuto de los trabajadores y por el convenio colectivo de aplicación. Por consiguiente, no estamos ante un recurso de amparo por la vía del art. 43 LOTC (contra actos de las administraciones públicas), sino ante un recurso de amparo que debe quedar encuadrado en el art. 44 LOTC ya que, en la actuación controvertida, la agencia intervino como empleadora, sin ejercer potestad pública alguna (potestad de imperio), desarrollando facultades de orden jurídico-privado que le reconoce el ordenamiento laboral (en sentido similar, SSTC 6/1988, de 21 de enero, FJ 1, y 29/2013, de 11 de febrero, FJ 1). En consecuencia, aunque la lesión la haya causado originariamente la agencia demandada, es a los órganos judiciales a quienes corresponde —ex art. 53.2 CE— tutelar el derecho reconocido en el art. 14 CE, de modo que, al confirmar la decisión adoptada por la empleadora, es a ellos a quienes les es imputable la lesión, siendo las resoluciones judiciales dictadas el acto del poder público aquí impugnado, respecto de las que opera el plazo de interposición de treinta días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constitucional aplicable. En orden a determinar si se ha producido la infracción del derecho a la igualdad y no discriminación que la recurrente denuncia, es necesario recordar brevemente el contenido que define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reiterada doctrina constitucional, el derecho a la igualdad reconocido en el primer inciso del art. 14 CE exige que a iguales supuestos de hecho se apliquen iguales consecuencias jurídicas, lo que veda la utilización de elementos de diferenciación que quepa calificar de arbitrarios o carentes de una justificación objetiva y razonable [SSTC 253/2004, de 22 de diciembre, FJ 5; 117/2011, de 4 de julio, FJ 4; 149/2017, de 18 de diciembre, FJ 4, y 91/2019, de 3 de julio, FJ 4 a), entre otras muchas]. Lo que prohíbe el principio de igualdad, en definitiva, son las desigualdades que resulten artificiosas o injustificadas por no venir fundadas en criterios objetivos y razonables, de valor generalmente aceptado [STC 91/2019, FJ 4 a)]. El juicio de igualdad, siendo relacional, exige como presupuestos obligados, de un lado, que se haya introducido directa o indirectamente una diferencia de trato entre grupos o categorías de personas;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de trato (SSTC 27/2004, de 4 de marzo, FJ 2; 149/2017, de 18 de diciembre, FJ 5; 111/2018, de 17 de octubre, FJ 7, y 85/2019, de 19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virtualidad del art. 14 CE no se agota, sin embargo, en la proclamación del derecho a la igualdad sino que a continuación el precepto se refiere a la prohibición de discriminación, entre otros motivos, “por razón de sexo”. Tal tipo de discriminación comprende no solo el tratamiento peyorativo que se funda en la pura y simple constatación del sexo de la persona afectada, sino en la concurrencia de razones o circunstancias que tengan con el sexo de la persona una conexión directa e inequívoca, como sucede con el embarazo y la maternidad (por todas, SSTC 17/2003, de 30 de enero, FJ 3; 3/2007, de 15 de enero, FJ 2, y 2/2017, de 16 de enero, FJ 5). No obstante, esta protección constitucional vinculada a factores diferenciales que inciden en las mujeres no se detiene en el embarazo y subsiguiente maternidad, sino que se extiende también al ejercicio por la trabajadora de los “derechos asociados a la maternidad”. Tales derechos, aunque son reconocidos por el ordenamiento jurídico indistintamente al hombre y a la mujer con el objeto de estimular cambios en la cultura familiar y promover el reparto de responsabilidades, sirven principalmente para compensar las dificultades y desventajas que agravan la posición de la mujer trabajadora. En efecto, se trata de derechos que inciden de modo singular en las mujeres, al ser las que principalmente asumen el cuidado de los hijos de corta edad y sufren, por ello, mayores dificultades para su inserción laboral y su mantenimiento en el mercado de trabajo [STC 233/2007, de 5 de noviembre, FJ 7, a), y posteriores SSTC 162/2016, de 3 de octubre, FJ 4; 2/2017, de 16 de enero, FJ 5, y 108/2019, de 30 de septiembre, FJ 2]. Ahora bien, es importante subrayar que la discriminación por razón de sexo no solo se produce cuando a la mujer trabajadora se le niega uno de esos derechos asociados a la maternidad, sino también cuando, pese a su inicial reconocimiento y ejercicio, se le cause un perjuicio efectivo y constatable que consista en un “trato peyorativo en sus condiciones de trabajo”, o en “una limitación o quebranto de sus derechos o legítimas expectativas económicas o profesionales en la relación laboral”, por la exclusiva razón del ejercicio previo de ese derecho [STC 233/2007, FJ 7 c) 2]. En otras palabras, en tales casos la vulneración del art. 14 CE vendría determinada por el menoscabo, de carácter discriminatorio, ocasionado en el patrimonio jurídico de la mujer trabajadora. Y, entre esos derechos asociados a la maternidad que, como se ha dicho, responden a la idea de compensar las desventajas reales que para la conservación de su empleo y para la conciliación de su vida laboral y familiar soporta la mujer trabajadora, se encuentran, precisamente, el derecho a la excedencia laboral por cuidado de hijos (art. 46.3 LET) y el derecho a la reducción de jornada por razones de guarda legal (art. 37.6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cabe recordar también que la específica prohibición de discriminación por razón de sexo no sólo comprende la “discriminación directa” a la que se ha hecho referencia, sino también la “discriminación indirecta”, es decir, aquel tratamiento formalmente neutro o no discriminatorio del que se deriva, por las diversas condiciones fácticas que se dan entre trabajadores de uno y otro sexo, un impacto adverso sobre los miembros de un determinado sexo [SSTC 145/1991, de 1 de julio, FJ 2, y 91/2019, de 3 de julio, FJ 4.c)].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Resolución del recurso de amparo. Teniendo en cuenta la doctrina sintetizada en el fundamento jurídico precedente, ya estamos en disposición de pronunciarnos sobre si se ha producido una diferencia de trato contraria al art. 14 CE como consecuencia de que la empleadora al calcular la reducción de jornada por motivos de guarda legal para el cuidado de los hijos menores, no solo aplicó la reducción al número de horas de la jornada ordinaria (que pasó de 1523 a 1020,41 horas, en jornadas diarias de siete horas) y al número de guardias médicas obligatorias (que pasó de cuarenta y cuatro a treinta, en jornadas diarias de diez horas), sino también al número de horas de descanso retribuido computables por cada saliente de guardia (reduciéndolo de siete horas a 4,69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anterioridad, el juicio de igualdad es de carácter relacional, pues requiere que la diferencia de trato se produzca entre grupos o categorías de personas que puedan considerarse homogéneas o equiparables (STC 149/2017). Y resulta que, en este caso, las situaciones subjetivas que la recurrente contrasta constituyen un término de comparación válido, al tratarse de supuestos de hecho iguales en la medida que, aun realizando menos guardias obligatorias (treinta en lugar de cuarenta y cuatro, fruto de la reducción de jornada para el cuidado de los hijos), las que realiza son, al igual que el resto de sus compañeros, de diez horas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pues, ante situaciones subjetivas comparables, que son aptas para realizar el juicio de igualdad, debemos ahora comprobar si la diferencia de trato denunciada posee una justificación objetiva y razonable que la legitime. El argumento que ofrece la entidad demandada para justificar la diferencia de trato (y que ha sido aceptado en la vía judicial) es que, dado que la recurrente tiene su jornada habitual reducida en un 33 por 100, las guardias realizadas no pueden generarle un descanso retribuido equivalente a una jornada de trabajo “ordinaria” completa (de siete horas), procediendo la empleadora a reducírselo a 4,69 horas. Tal argumentación resulta, sin embargo, inasumible, al utilizar la empleadora para justificar la diferencia de trato un elemento de diferenciación que debe calificarse de arbitrario o carente de una justificación objetiva y razonable (STC 91/2019, FJ 4), a saber, el de que la recurrente en amparo realiza la jornada de trabajo (tanto ordinaria como complementaria) de forma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descuidar que la reducción tanto de la jornada ordinaria (en cómputo anual) como de la complementaria (en número de guardias) es fruto de un derecho (el cuidado de los hijos), cuyo ejercicio no puede generarle un menoscabo en la asignación del descanso retribuido derivado de la realización de unas guardias que, aun menores en su número, son de la misma duración que para el resto de los trabajadores: de diez horas. Dicho de otra manera, como se ha señalado ya, aunque la recurrente realiza menos jornadas “ordinarias” de trabajo (1020,41 horas anuales en lugar de las 1523 horas previstas, en jornadas diarias de siete horas), y menos jornadas “complementarias” (treinta guardias obligatorias en lugar de las cuarenta y cuatro previstas, en jornadas de diez horas), fruto de la reducción para el cuidado de los hijos, las que sí realiza (las treinta guardias), las lleva a cabo, al igual que el resto de sus compañeros, a jornada completa de diez horas. Por tanto, ante una misma situación (guardias de diez horas), que generan el derecho a un descanso retribuido (de siete horas), no puede la empleadora asignarle otro (de 4,69 horas), so pretexto de que ya tiene reducido tanto el número de horas ordinarias que debe trabajar como el número de guardias que obligatoriamente debe realizar. No existe, pues, una justificación razonable que legitime el diferente trato recibido.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solo eso. También puede apreciarse una discriminación indirecta por razón de sexo porque el método de cálculo usado por la empleadora para asignarle los períodos de descanso retribuidos por cada “saliente de guardia”, le ha provocado un “perjuicio efectivo y constatable” que ha generado, en este caso, un “trato peyorativo en sus condiciones de trabajo” (STC 233/2007) fruto del ejercicio de un derecho asociado con la maternidad (como es el derecho a la reducción de jornada para el cuidado de hijos). Y aunque aquel método es formalmente neutro, ha perjudicado a un número mayor de mujeres que de hombres (STC 91/2019), pues esta demanda de amparo forma parte de una serie de recursos en que todas las recurrentes, a fecha del dictado de esta sentencia, son mujeres médicos.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carecer la diferencia de trato de una justificación que la legitime, procede estimar la vulneración del derecho a la igualdad, sin discriminación por razón de maternidad,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Alcance de la estimación del recurso. El otorgamiento del recurso de amparo conlleva la anulación de las resoluciones judiciales impugnadas que negaron a la recurrente, al calcular su jornada anual, el reconocimiento del mismo número de horas de trabajo efectivo por cada saliente de guardia que al resto de los trabajadores con jornadas a tiempo completo. El restablecimiento de su derecho a la igualdad de trato y no discriminación indirecta por razón de sexo (art. 14 CE) requiere, en consecuencia, la retroacción de las actuaciones al momento inmediatamente anterior al del dictado de la primera de las resoluciones judiciales a fin de que sea dictada una nueva resolución respetuosa con tales derechos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lo que se refiere a la solicitud del reconocimiento de una indemnización anudada a la infracción del derecho a la igualdad y a no padecer discriminación que solicita la recurrente, no procede realizar pronunciamiento alguno al respecto en esta sede, no solo por ser una cuestión que quedó imprejuzgada en la vía judicial (STC 176/2013, de 21 de octubre, FJ 9), sino también porque el reconocimiento de una eventual indemnización no puede ser pretendido como una consecuencia automática y necesaria de la estimación del recurso de amparo, pues el restablecimiento del derecho fundamental vulnerado se realiza, en principio, mediante las medidas previstas en el fallo de nulidad de las resoluciones judiciales impugnadas, siendo algo que debe ser llevado a cabo por la jurisdicción ordinaria (por todos, AATC 233/2001, de 25 de julio, FJ 3, y 270/2008, de 15 de septiembre, FJ único).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Pilar Prados Torres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Reestablecerla en su derecho y, a tal fin, anular la sentencia del Juzgado de lo Social núm. 6 de Málaga, de 10 de mayo de 2018, autos núm. 100-2018, y la de la Sala de lo Social del Tribunal Superior de Justicia de Andalucía, sede de Málaga, de 5 de diciembre de 2018, dictada en el recurso de suplicación núm. 1546-2018, que las confirmaron.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 sentencia del Juzgado de lo Social núm. 6 de Málaga de 10 de mayo de 2018, a fin de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