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3544-2019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292-2018,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junio de 2019, la entidad Euroinversiones Inmobiliarias Costa Sur, S.L., representada por la procuradora de los tribunales doña Blanca Berriatua Horta y bajo la dirección del letrado don Marcelino Gilabert García, interpuso recurso de amparo contra los autos dictados por el Juzgado de Primera Instancia e Instrucción núm. 5 de Lorca en el procedimiento de ejecución hipotecaria núm. 292-2018, en fechas 21 de septiembre de 2018 y 23 de abril de 2019, por los que, respectivamente, se inadmitió por extemporánea la oposición a la ejecución hipotecaria y se confirmó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292-2018, promovido por la entidad Banco de Sabadell, S.A., frente a las sociedades Euroinversiones Inmobiliarias Costa Sur, S.L., y Penrei Inversiones, S.L.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9 de mayo de 2018 se acordó despachar ejecución frente a las sociedades demandadas. El citado auto y el decreto de la misma fecha que le sigue fueron comunicados a la entidad Euroinversiones Inmobiliarias Costa Sur, S.L., a través de la sede judicial electrónica el día 11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Euroinversiones Inmobiliarias Costa Sur, S.L., presentó escrito de oposición a la ejecución despachada, con fecha 10 de julio de 2018. Por auto de 21 de septiembre de 2018 se acordó su inadmisión por presentación extemporánea, tomando como fecha de notificación del auto el 11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alegando, en síntesis, que las actuaciones de notificación y requerimiento no habían sido realizadas el día 11 de mayo de 2018, sino el 26 de junio de 2018, y que la comunicación remitida a través de la dirección electrónica habilitada no podía entenderse nada más que como un aviso de puesta a disposición o descarga de su contenido durante un plazo determinado (en el caso desde el 11 de mayo al 26 de junio de 2018) y entenderlo de otro modo, además de infringir los arts. 135, 152, 160, 162 de la Ley de enjuiciamiento civil (LEC), vulneraba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resuelto por auto de 23 de abril de 2019 en sentido desestimatorio, al constatar su condición de persona jurídica y la obligación que como tal tiene de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de 1 de octubre, del procedimiento administrativo común de las administraciones públicas (LPACAP) y 373.3 LEC, y determina que la recurrente yerra “en el plazo en el que puede acceder a su contenido a efectos de la práctica de la notificación el cual es de diez días naturales desde la puesta a su disposición y ello por imperativo del art. 43 de la citada LPACAP”, que reproduce.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recibido una Notificación del organismo emisor Juzgados y Tribunales (SGAJ) en la Dirección Electrónica Habilitada Única del titular Euro-Inversiones Inmobiliarias Costa Sur SL — NIF B73258006.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11-05-2018 hasta el 26-07-2018. Si no procediera a su lectura en el plazo indicado se producirán los efectos correspondientes, según la normativa aplicable. Para que conste como leída, por favor acceda a http://notificaciones060.es Asunto: “JDO. 1 INST. E INSTR. N 5 DE LORCA EHJ/00000292/2018’”.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intérprete,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si como consecuencia de su continuación “se decretara la celebración de subasta y la eventual adjudicación a terceros, puede hacer esto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febrero de 2020, la Sección Segunda de este tribunal acordó admitir a trámite el recurso de amparo y dirigir comunicación al Juzgado de Primera Instancia e Instrucción núm. 5 de Lorca, a fin de que emplazase a quienes hubieran sido parte en el procedimiento de ejecución hipotecaria núm. 292-2018, excepto la parte recurrente en amparo, para que en el plazo de diez días pudieran comparecer en el recurso de amparo, si lo desean. En esta providencia no se reclaman las actuaciones por estar ya incorporadas al expediente.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través de escrito presentado el 14 de febrero de 2020, la parte demandante formuló sus alegaciones, reiterando lo dicho en el otrosí de su demanda y trascribiendo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25 de febrero de 2020, interesa que se acuerde la anotación preventiva de la demanda en el registro de la propiedad, aunque esta última medida no haya sido solicitada en el recurso de amparo. Tras exponer la doctrina de este tribunal sobre suspensión de resoluciones y actos impugnados, considera que la aplicación al caso de dicha doctrina nos debe llevar a considerar que nos encontramos en uno de esos supuestos en que, de no adoptarse la medida de anotación preventiva de la demanda, la tutela que pudiera otorgarse por este tribunal no sería completa si se deja abierta la posibilidad de que la finca sea transmitida a un tercero de buena fe mientras se sustancia y resuelve el presente recurso de amparo, por lo que interesa la anotación preventiva de la demanda en el registro de la propiedad evitando así situaciones cuya reversibilidad sería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292-2018,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de 10 de febrero,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su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en varios autos que resuelven incidentes de ejecución de esta misma serie de recursos de amparo. Valgan como ejemplo, en relación con el mismo recurrente en amparo, los recientes AATC 174/2019 y 177/2019, de 16 de diciembre, 4/2020, 5/2020, 6/2020 y 8/2020, de 27 de enero, y 15/2020, de 10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292-2018,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