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81</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julio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y don Cándido Conde-Pumpido Tourón.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6209-2019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6209-2019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348-2018 seguido en el Juzgado de Primera Instancia e Instrucción núm. 4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entidad mercantil Euroinversiones Inmobiliarias Costa Sur, S. L., representada por la procuradora de los tribunales doña Blanca Berriatua Horta, con asistencia letrada de don Marcelino Gilabert García, solicita la suspensión del proceso de ejecución hipotecaria núm. 348-2018 tramitado por el Juzgado de Primera Instancia e Instrucción núm. 4 de Lorca. Lo hace por otrosí en el escrito de 30 de octubre de 2019 por el que interpone recurso de amparo contra los autos de 14 de noviembre de 2018 y 17 de septiembre de 2019 recaídos en aquel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resolver sobre la medida cautelar solicitada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Juzgado de Primera Instancia e Instrucción núm. 4 de Lorca se sigue procedimiento de ejecución hipotecaria núm. 348-2018 promovido por la entidad Banco de Sabadell, S.A. frente a la sociedad Euroinversiones Inmobiliarias Costa Sur, S.L., en calidad de prestataria e hipotecante.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Despachada ejecución por auto de 18 de junio de 2018, el servicio de notificaciones de la Fábrica Nacional de Moneda y Timbre remite a la demandante de amparo, a través de la dirección electrónica habilitada, un aviso de notificación. Informa de que la notificación estará disponible desde el 20 de junio hasta el 5 de agosto. El 27 de julio la recurrente de amparo accede efectivamente a la página web y a la notificación.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28 de agosto de 2018, la sociedad demandada formula oposición a la ejecución despachada. Por auto de 14 de noviembre del mismo año fue inadmitida por extemporánea.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sociedad ejecutada interpone recurso de reposición. Alega que las diligencias de notificación y requerimiento se realizaron el 27 de julio de 2018. La comunicación remitida a través de la dirección electrónica habilitada no sería más que un aviso de puesta a disposición o descarga de su contenido durante un plazo determinado. Entenderlo de otro modo vulneraría el art. 24 CE, además de los arts. 135, 152, 160, 162 de la Ley 1/2000, de 7 de enero, de enjuiciamiento civil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recurso fue desestimado por auto de 17 de septiembre de 2019. El órgano judicial reafirma que la notificación se practicó el 20 de junio de 2018, fecha en la que se materializó correctamente su puesta a disposición en aplicación estricta del art. 162 LEC. A efectos de computar el plazo para formular oposición a la ejecución hipotecaria no puede tomarse en consideración la fecha en que el acceso se realizó efectivamente; de lo contrario se estaría dejando al arbitrio de las partes obligadas a utilizar el sistema electrónico de notificaciones el cumplimiento de los términos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atribuye a los autos impugnados la vulneración del derecho fundamental de la sociedad recurrente a la tutela judicial efectiva y a un proceso con garantías y sin indefensión (art. 24, apartados 1 y 2 CE). La interpretación de la legislación procesal, habría privado injustamente a la recurrente de su derecho a formular oposición a la ejecución hipotecaria. Tratándose de un primer emplazamiento, debió realizarse del modo tradicional (art. 273 LEC). El órgano judicial habría incumplido su obligación de asegurar, no ya la legalidad formal de los actos de comunicación, sino el cumplimiento efectivo de su finalidad constitucional. La demanda solicita por otrosí la suspensión del proceso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9 de marzo de 2020, la Sección Segunda de este tribunal acuerda admitir a trámite el recurso y dirigir comunicación al Juzgado de Primera Instancia e Instrucción núm. 4 de Lorca, a fin de que, en el plazo de diez días, remita certificación o fotocopia adveradas de las actuaciones correspondientes a los autos de ejecución hipotecaria y emplace a quienes hubieran sido parte en el proceso del que trae causa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acuerda formar la oportuna pieza para la tramitación del incidente de suspensión y, conforme a lo dispuesto en el art. 56 de la Ley Orgánica del Tribunal Constitucional (LOTC), concede un plazo común de tres días a la parte recurrente y al Ministerio Fiscal para que aleguen lo que estimen pertinente.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15 de marzo de 2020, la demandante de amparo insiste en que la ejecución se ha despachado con vulneración de su derecho a la tutela judicial efectiva. Añade que la doctrina constitucional ha accedido a suspender ejecuciones hipotecarias en otros casos y que no hacerlo en el presente conduciría a situaciones irreversibles con inevitables perjuicios.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el 14 de mayo siguiente, el Ministerio Fiscal interesa que se acuerde la anotación preventiva de la demanda en el registro de la propiedad, pese a no haber sido solicitada. Tras exponer la doctrina constitucional sobre suspensión de resoluciones impugnadas, considera que, de no adoptarse la anotación preventiva de la demanda, la tutela que el tribunal pudiera otorgar corre el riesgo de ser incompleta; dejaría abierta la posibilidad de que la finca sea transmitida a un tercero de buena fe mientras se sustancia y resuelve el presente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resolver sobre la procedencia de la medida cautelar instada por la parte recurrente en amparo y dirigida frente al procedimiento de ejecución hipotecaria núm. 348-2018 seguido en el Juzgado de Primera Instancia e Instrucción núm. 4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La suspensión no podrá pues ocasionar perturbación grave alguna sobre un interés constitucionalmente protegido o los derechos fundamentales o libertades de otra persona. Por esta razón se configura como una medida de carácter excepcional y de aplicación restrictiva (por todos, AATC 117/2015, de 6 de julio, FJ 1, y 59/2017, de 24 de abril, FJ 1). Este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Debe mostrar que la ejecución del acto recurrido puede privar a la demanda de amparo de su finalidad, provocando que el restablecimiento del recurrente en el derecho constitucional vulnerado sea tardío y convirtiendo en meramente ilusorio y nominal el amparo impetrado [AATC 51/1989, de 30 de enero; 290/1995, de 23 de octubre; 370/1996, de 16 de diciembre; 283/1999, de 29 de noviembre; 90/2014, de 27 de marzo, FJ 1; 190/2015, de 5 de noviembre, FJ 2 a); 59/2017, de 24 de abril; 146/2017, de 13 de noviembre,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64/2009, de 23 de febrero, FJ 2, o los más recientes AATC 56/2013, de 13 de febrero, FJ 2; 74/2013, de 8 de abril, FJ 2; 152/2013, de 8 de julio, FJ 2; 37/2014, de 10 de febrero, FJ 2; 282/2014, de 17 de noviembre, FJ 4,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aquellos,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expuesta al caso aquí planteado permite concluir, de acuerdo con el Ministerio Fiscal, que resulta improcedente la suspensión solicitada y, por el contrario, medida idónea la anotación preventiva de la demanda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demandante se limita a poner de manifiesto, genéricamente, que la eventual adjudicación a terceros puede hacer perder al recurso de amparo su finalidad, sin añadir indicación alguna sobre la situación y circunstancias de la entidad mercantil recurrente así como sobre las características, destino y estado posesorio del inmueble hipotecado. En tales circunstancias, no es posible afirmar que la continuación del curso del procedimiento judicial, incluso con un desplazamiento posesorio, provoque por sí sola un perjuicio determinante de la pérdida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la reputa medida idónea para evitar el perjuicio derivado de que la adquisición del bien por tercero lo haga irreivindicable. Esta ha sido la solución acogida recientemente, en los AATC 75/2019 y 76/2019, ambos de 15 de julio, entre muchos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y que, de acuerdo con el ATC 95/2015,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 Nuestra decisión en esta materia al ordenar que se practique la anotación preventiva, remite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348-2018 seguido en el Juzgado de Primera Instancia e Instrucción núm. 4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julio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