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6041-2019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6041-2019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351-2018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23 de octubre de 2019 tuvo entrada en el registro general del Tribunal Constitucional un escrito de la procuradora doña Blanca Berriatua Horta, en representación de la entidad Euroinversiones Inmobiliarias Costa Sur, S.L., por el que interpuso recurso de amparo contra el auto de 16 de septiembre de 2019 del Juzgado de Primera Instancia e Instrucción núm. 4 de Lorca, que desestima el recurso de reposición interpuesto por la ahora actora frente al auto de 15 de noviembre de 2018, que inadmitió por extemporánea la demanda de oposición presentada en el seno de la ejecución hipotecaria 351-2018, promovida por Banco de Sabadell,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15 de noviembre de 2018, el Juzgado de Primera Instancia e Instrucción núm. 4 de Lorca dictó un auto en el procedimiento de ejecución hipotecaria núm. 351-2018 por el que acordó: “Inadmitir a trámite la oposición formulada por la parte ejecutada Euroinversiones Inmobiliarias Costa Sur, S.L., […], por estar presentada fuera de plazo”, advirtiendo en pie de recurso que contra dicha resolución cabía recurso de apelación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basó su decisión, conforme a su fundamento de Derecho único, en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establece en el artículo 134 de la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Establece el artículo 695 LEC, que la parte ejecutada pueda oponerse al despacho de ejecución en los términos de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Formalizado contra dicho auto recurso de reposición por la entidad aquí demandante de amparo, el juzgado a quo dictó auto el 16 de septiembre de 2019 desestimándolo, con confirmación de la resolución recurrida, en virtud de los motivos expresados en su fundamento de Derecho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señalar que para el cómputo del plazo de presentación de la oposición “debe tenerse en cuenta la fecha en la que efectivamente tuvo la parte posibilidad de acceder” a las resoluciones judiciales impugnadas, considera que en este caso “resulta la correcta recepción de la notificación en fecha 3 de julio de 2018, fecha en la que se materializó la “puesta a disposición” de la notificación correctamente y del propio documento resulta que pasaron más de tres días desde la misma sin que se hubiera accedido al contenido hasta el día 3 de agosto de 2018, por tanto, en aplicación estricta de lo dispuesto en el apartado segundo del art. 162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precluído la posibilidad de hacerlo”.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traía el siguiente pie de recurso: “Contra este auto no cabe recurso alguno, sin perjuicio de reproducir la cuestión objeto de la reposición al recurrir, si fuera posible, la resolución definitiva (artículo 454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reconoce que si bien la recurrente, por ser una persona jurídica, viene por ello obligada a relacionarse con la administración de justicia a través de medios electrónicos, no obstante cuando es el primer emplazamiento y por tanto todavía aquélla “no ha tenido ninguna relación con el juzgado correspondiente en este especial y concreto procedimiento”, ha de practicarse mediante cédula con entrega en papel de la documentación correspondiente, conforme establece el art. 273 de la Ley de enjuiciamiento civil (LEC), en relación con los arts. 135, 152, 162 y 155 LEC.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que incluso la notificación realizada tampoco cumple con las formalidades de las comunicaciones electrónicas. Pese a todo esto, el auto dictado por el juzgado el 15 de noviembre de 2018 declaró extemporánea la presentación del escrito de oposición, computando el plazo de diez días desde la fecha de envío de aquel correo a través de la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auto de 16 de septiembre de 2019, que desestimó la reposición, se reiteran los argumentos ya expuestos, que no fueron atendidos por el juzgado al dar por válida la notificación efectuada a través de la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solicita que este Tribunal Constitucional, con estimación del amparo, acuerde la nulidad de ambas resoluciones judiciales y ordene reponer las actuaciones al momento previo al dictado de la primera de aquéllas, a fin de que el juzgado a quo admita a trámite la “demanda de oposición al despacho de ejecución formulada por mi representada”.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351-2018 seguido ante el Juzgado de Primera Instancia e Instrucción núm. 4 de Lorca, hasta tanto sea resuelto el presente recurso de amparo, poniéndolo en conocimiento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Constitucional, dictó providencia el 20 de julio de 2020,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toda vez que el recurso puede dar ocasión al tribunal para aclarar o cambiar su doctrina, como consecuencia de cambios normativos relevantes para la configuración del contenido del derecho fundamental [STC 155/2009,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obrando ya en esta Sala testimonio de las correspondientes actuaciones jurisdiccionales, diríjase atenta comunicación al Juzgado de Primera Instancia e Instrucción núm. 4 de Lorca a fin de que se proceda a emplazar a quienes hubieran sido parte en el procedimiento, excepto la parte recurrente en amparo, para que en el plazo de diez días puedan comparecer, si lo desean,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Fórmese la oportuna pieza separada para la tramitación de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dictada por la Sección Cuarta de este tribunal en la misma fecha de la admisión del recurso, el 20 de julio de 2020,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entidad recurrente presentó su escrito de alegaciones con fecha 30 de julio de 2020, interesando se acceda a lo solicitado en cuanto a la suspensión del procedimiento de ejecución hipotecaria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alega que la continuación de tal procedimiento, “con la celebración de subasta y la eventual adjudicación a terceros […] harían perder al recurso de amparo su finalidad y provocarían perjuicios patrimoniales para mi representada de imposible o difícil reparación”. Tras reiterar los argumentos expuestos en la demanda de amparo, cita en apoyo de su pretensión lo resuelto por este tribunal en sus AATC 21/2018, de 5 de marzo; 58/2018, de 4 de junio, y 117/2018, de 29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fiscal ante este Tribunal Constitucional formalizó su escrito de alegaciones en esta pieza el 1 de septiembre de 2020, interesando que se adopte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citar el art. 56 de la Ley Orgánica del Tribunal Constitucional (LOTC), expone la doctrina de este tribunal sobre la cuestión planteada, concluyendo que ese precepto “responde, en definitiva, a criterios racionales de equilibrio entre los intereses del recurrente, los generales de la sociedad y los derechos de terceros, que en cada supuesto han de ser valorados”. Más en concreto, “dicha ponderación ha llevado a este tribunal a establecer, como criterio general, el de que no procede suspender la ejecución de aquellos fallos judiciales que admiten la restitución íntegra de lo ejecutado (como de ordinario ocurre, aunque no sin excepciones, en las condenas de contenido patrimonial). Por el contrario, cuando la condena entraña un perjuicio para los derechos fundamentales del recurrente en amparo de imposible o muy difícil reparación, como sucede, en principio, con las condenas a penas privativas de libertad y de derechos, entonces lo procedente será acordar la suspensión de las mismas siempre que concurran los demás requisitos establecidos por el art. 56 LOTC, esto es, que no se siga perturbación grave del interés general ni de los derechos fundamentales de un tercero. Pero tampoco las condenas de contenido patrimonial pueden quedar absolutamente marginadas de la posibilidad de suspenderse, sino que habrá que valorar en estos casos, con especial énfasis, que no se produzca perjuicio para el interés general, lo que normalmente no ocurrirá en los pleitos puramente civiles, y de manera más concreta, que no se acabe implicando los derechos presentes o futuros de terceros que puedan acabar perjudicados”.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Ministerio Fiscal considera que la petición de suspensión solicitada comportaría “la drástica medida [de] paralización del procedimiento ejecutivo, que por su propia naturaleza goza de las características de celeridad y sumariedad”. Por ello, entiende que sería “mucho más eficaz […] la anotación preventiva de la demanda de amparo en el registro de la propiedad, ya que de esta manera se daría publicidad frente a terceros de la pendencia del recurso, lo que conlleva el conocimiento de los efectos que sobre la titularidad de la vivienda puede tener el otorgamiento del amparo, en su caso, evitando que el hipotético tercero adquirente quede especialmente protegido por su buena fe en la adquisición”. Cita en apoyo de su petición el art. 56.3 LOTC, que permite al tribunal adoptar toda medida que evite que el recurso de amparo pueda perder su finalidad, así como el ATC 95/2015, de 25 de mayo ,FJ 4, con reproducción parcial literal. Finaliza señalando que esta medida de anotación preventiva “haría que lo que consta en el registro de la propiedad fuera fiel reflejo de la realidad,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351-2018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regulación ofrece una configuración de la suspensión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o justifique, ofreciendo un principio razonable de prueba, el carácter no reparable o la dificultad de la reparación de los perjuicios derivados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mencionada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un tercero de buena fe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entre otros, en los AATC 106/2017, de 17 de julio, FJ 3; 88/2018, de 17 de septiembre, FJ 5; 2/2019, de 9 de enero, FJ 4, o 177/2019,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[sus]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351-2018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