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6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5913-2018, promovido por la Junta de Extremadura contra el auto de 10 de septiembre de 2018, dictado por la Sala de lo Contencioso-Administrativo del Tribunal Superior de Justicia de Extremadura, por el que se inadmite el recurso de casación por infracción de normativa autonómica núm. 2-2018, interpuesto contra la sentencia del Juzgado de lo Contencioso-Administrativo núm. 1 de Mérida de 2 de marzo de 2018 en el procedimiento abreviado núm. 157-2017, y la providencia de 11 de octubre de 2018 dictada por la misma Sala por la que inadmite el incidente de nulidad de actuaciones formulado contra la anterior resolución. Ha sido parte don Urbano Vázquez Fernández, representado por el procurador de los tribunales don Luis Mena Velasco, bajo la dirección del letrado don Diego Castillo Guijarro.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noviembre de 2018, la letrada de la Junta de Extremadura, en la representación que legalmente ostenta, interpuso recurso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Contencioso-Administrativo núm. 1 de Mérida, núm. 34/2018, de 2 de marzo de 2018, pronunciada en el procedimiento abreviado núm. 157-2017, estimó el recurso interpuesto por don Urbano Vázquez Fernández, médico de familia, contra la resolución presunta de la Dirección Gerencia del Servicio Extremeño de Salud, desestimatoria de la reclamación formulada en fecha 30 de septiembre de 2016, en la reclamación de abono del complemento de comunidad autónoma establecido como retribución complementaria para el personal estatutario sanitario del grupo A1. Esta decisión fue anulada, reconociéndose al recurrente el derecho a la percepción de ese complemento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la demandada Junta de Extremadura presentó, en nombre del Servicio Extremeño de Salud, escrito de preparación de recurso de casación por infracción autonómica, de acuerdo con el art. 86.3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recurso fue inadmitido por la Sala de lo Contencioso-Administrativo del Tribunal Superior de Justicia de Extremadura por auto de 10 de septiembre de 2018, por considerar que concurre la causa de inadmisión prevista en el artículo 90.4 a) LJCA, “al no ser recurrible en casación por infracción de norma emanada de la Comunidad Autónoma la sentencia del Juzgado de lo Contencioso-Administrativo número 1 de Mérida”.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argumenta que en el orden contencioso-administrativo, tras la aprobación de la Ley Orgánica 7/2015, de 21 de julio, “ni la LOPJ ni la LJCA contienen norma que atribuya competencia a las salas de lo contencioso-administrativo de los Tribunales Superiores de Justicia para enjuiciar recursos de casación por infracción de norma autonómica”. A dicha conclusión llega tras referirse a lo dispuesto en los arts. 86.1 LJCA, 10 y 74 de la Ley Orgánica del Poder Judicial (LOPJ), y a la derogación por la disposición final tercera de la citada Ley Orgánica de los arts. 99 y 101 LJCA. Señala además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86.3 segundo párrafo LJCA se refiere al recurso de casación por infracción de normas emanadas de la comunidad autónoma, pero este precepto, por un lado, no menciona como susceptibles de ser recurridas en casación las sentencias de los juzgados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el precepto ha sido redactado por la disposición final tercera de la Ley Orgánica 7/2015, de 21 de julio, por la que se modifica la Ley Orgánica 6/1985, de 1 de julio, del Poder Judicial, que no tiene rango de ley orgánica sino de ley ordinaria, según prevé la disposición final quinta de la Ley Orgánica 7/2015,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competencial de un recurso de casación por infracción de norma autonómica debe regularse en norma con rango de ley orgánica y no en una ley ordinaria, conforme al artículo 122.1 CE. La reserva de ley orgánica debe comprender, como mínimo, además de la institución de los diferentes órdenes jurisdiccionales, la configuración definitiva de los tribunales de Justicia y la definición genérica de su ámbito de conocimiento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Salvo la mención contenida en el artículo 86.3 LJCA, no existe otro precepto que se ocupe de la tramitación del recurso de casación por infracción autonómica. El trámite procedimental de la LJCA está previsto en su integridad para la tramitación del recurso de casación ante la Sala Tercera del Tribunal Supremo, sin que exista regulación alguna de la tramitación del recurso de casación por las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Formulado incidente de nulidad de actuaciones contra el citado auto, se dictó providencia de 11 de octubre de 2018 por la que la misma sala de lo contencioso-administrativo acordó su inadmisión. En dicha resolución, el órgano judicial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alegado por la parte que presenta el incidente de nulidad de actuaciones no modifica la fundamentación jurídica del auto de inadmisión del recurso de casación por infracción de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recurso que no está previsto en la LJCA al no indicarse expresamente que las sentencias de los juzgados de lo contencioso-administrativo puedan ser objeto de recurso de casación ante la Sala de lo Contencioso-Administrativo del Tribunal Superior de Justicia de Extremadura, no se indica qué resoluciones y en qué supuestos las decisiones de los juzgados pueden ser objeto de recurso de casación y no existe regulación procesal alguna para este tipo de recurso ante las salas de lo contencioso-administrativo. Respetando las decisiones de otros Tribunales Superiores de Justicia, no es posible que un recurso de casación pueda admitirse, decidirse en que supuestos cabe y tramitarse cuando existe una absoluta falta de regulación en la LJCA. Lo mismo sucede, como se expone en el auto, en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procede reabrir el debate procesal resuelto en la fundamentación expuesta en el auto del que se solicita la nulidad de actuaciones, sin que exista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cita de los arts. 240.1 y 241.1 LOPJ, la providencia concluye que “por todo ello” procede inadmitir el incidente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que se estime el amparo por vulneración del derecho a la tutela judicial efectiva (art. 24.1 CE), declarándose la nulidad de las resoluciones dictadas por la Sala de lo Contencioso-Administrativo del Tribunal Superior de Justicia de Extremadura. En ella se denuncian, tras argumentar que no se está ante el mismo supuesto tratado por este tribunal en el ATC 41/2018, de 16 de abril,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demandante de amparo alega la vulneración de la tutela judicial efectiva sin indefensión en su vertiente de derecho de acceso al recurso (art. 24.1 CE), al denegarle el derecho a entablar un recurso de casación configurado legalmente, en contra de lo dispuesto en las SSTC 9/1992, de 16 de enero; 122/2013, de 20 de mayo, y 89/2015,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se ha producido una lesión del art. 24.1 CE en relación con el art. 117.1 CE, dado que el art. 24 CE “no solo comporta para el justiciable la garantía de obtener una resolución fundada en Derecho, sino que, correlativamente, impone a los jueces, en el ejercicio de su potestad jurisdiccional, el sometimiento al imperio de la ley (SSTC 173/2002, de 9 de octubre, FJ 8, y 66/2011, de 16 de mayo, FJ 5)”. Pone de manifiesto que en este caso se ha inaplicado el art. 86.3 LJCA, “al entenderse que no es aplicable a esta Comunidad Autónoma, sin entrar a valorar si es adecuado o no nuestras alegaciones expuestas en el escrito de preparación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aduce la conculcación del derecho a la tutela judicial efectiva (art. 24.1 CE) en relación con el principio de seguridad jurídica (art. 9.3 CE), “habida cuenta que el requisito cuyo incumplimiento ha determinado la inadmisión del recurso no está expresamente contemplado por la ley” y se ha llegado al mismo con “una interpretación contraria a la mayor efectividad del derecho fundamental al recurso, lo que ha conducido a un resultado desproporcionado”. Cita al respecto las SSTC 43/2000, 81/2000, 7/2003 y 7/2014, de 22 de enero; así como la STEDH de 28 de octubre de 2003, asunto Stone Court Shipping Company, S.A.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demandante invoca el derecho a la igualdad en aplicación de la ley (art. 14 CE), en relación con el art. 24.1 CE, por la indefensión causada por la no admisión del recurso “al no entrar a valorarlo en comparación con las soluciones contempladas en otras comunidades autónomas, que han puesto soluciones a la falta de regulación normativa”. Al respecto cita la STC 162/2001,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dedica un apartado a la justificación de la especial trascendencia constitucional del recurso que basa, por un lado, en el hecho de que la vulneración del derecho constitucional que se denuncia proviene de la ley, pues a ello conduce la interpretación que postula el Tribunal Superior de Justicia de Extremadura [STC 155/2009, FJ 2 c)], y, por otro, porque transciende el caso concreto por plantear una cuestión jurídica de relevante y general repercusión social [STC 155/2009, FJ 2 g)], en la medida en que no se trata de la inadmisión de un recurso en particular, concreto, sino negación con carácter general de la posibilidad de aplicación en el ámbito del Tribunal Superior de Justicia de Extremadura de un recurso regulado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15 de noviembre de 2018, acordó incorporar las actuaciones tramitadas bajo el núm. 5931-2018 a las presentes, núm. 5913-2018, al interponerse ambos recursos “contra la misma resolución y tratarse del mismo solicitante, para su tramitación como un único recurso”, y proceder a su archivo, previa notificación al Ministerio Fiscal y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2019, la Sección Tercera de este tribunal acordó admitir a trámite el recurso de amparo “apreciando que concurre en el mismo una especial trascendencia constitucional (art. 50.1 LOTC) porque el asunto suscitado trasciende del caso concreto porque plantea una cuestión jurídica de relevante y general repercusión social o económica [STC 155/2009, FJ 2 g)]”; dirigir, en aplicación de lo dispuesto en el art. 51 LOTC, atenta comunicación a la Sala de lo Contencioso-Administrativo del Tribunal Superior de Justicia de Extremadura a fin de que, en el plazo de diez días, remitiera certificación o copia adverada de las actuaciones correspondientes al recurso de casación autonómico núm. 2-2018, e igualmente respecto del Juzgado de lo Contencioso-Administrativo núm. 1 de Mérida, para que remitiera certificación o copia adverada de las actuaciones correspondientes al procedimiento abreviado núm. 157-2017, debiendo previamente emplazarse, para que pudieran comparecer en el recurso de amparo quienes hubieran sido parte en el procedimiento, excepto la parte recurrente en amparo; y la formación de la pieza separada de suspensión, que fue denegada por ATC 84/2019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2 de octubre de 2019, acordó tener por personado a don Urbano Vázquez Fernández, representado por el procurador de los tribunales de su designación,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16 de octubre de 2019, el representante de la parte personada presentó escrito de alegaciones, solicitando la desestimación del amparo por no haberse vulnerado derecho fundamental alguno del Servicio Extremeño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aunque la demandante en amparo distingue el presente supuesto del resuelto mediante ATC 41/2018, de 16 de abril, también interpuesto por la misma administración pública, “el contenido y argumentos de dicha resolución, que resolvió inadmitir el recurso, es trasladable, mutatis mutandis, al presente caso”. Considera que, en el presente caso, han existido criterios interpretativos diferentes de ciertas normas reglamentarias, pero que han sido sostenidos por dos juzgados diferentes, por lo que no se ha incumplido la doctrina constitucional que prohíbe la desigualdad o la discriminación que se origina en la función jurisdiccional por la actuación de un mismo órgano judicial (art. 14 CE). En este sentido entiende que la razonabilidad es el único parámetro de constitucionalidad que podría proyectarse en la capacidad de cada juez de seleccionar, interpretar o aplicar las normas que consideran relevantes para resolver el asunto del que conocen.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el derecho a la tutela judicial efectiva es de configuración legal y que “[s]i un determinado recurso contra sentencias está meramente previsto en el ordenamiento jurídico pero carece de desarrollo legal, […] su efectividad queda aplazada mientras no se produzca la necesaria regulación legal”, y, en este caso, “el denominado recurso de casación autonómico está solo previsto, en el artículo 86.3, contra sentencias de las salas de los Tribunales Superiores de Justicia”. Considera que “[e]l segundo párrafo del apartado regula la especialidad que afecta a la fundamentación de la sentencia (normativa autonómica o estatal), pero nunca a las sentencias recurribles (pues se establece de forma expresa que hayan sido dictadas por la salas de lo contencioso-administrativo de los Tribunales Superiores de Justicia)”. Y entiende que ello no se debe a un olvido del legislador sino a que “la posibilidad de recurso de las sentencias de los órganos unipersonales que solo se basan en normativa autonómica y, además, reglamentaria, debe estar mucho más restringida que la de los órganos colegiados, que pueden sentar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estima que la sala acuerda la inadmisión de un recurso de casación “por no venir contemplada la posibilidad de entablar dicho recurso en la legislación procesal, ni ordinaria ni extraordinaria, y ello sin emplear criterios interpretativos restrictivos del cumplimiento de los requisitos de recurribilidad”, por lo que no se ha vulnerado el derecho al recurso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18 de octubre de 2019, por el que interesó que se dictara sentencia estimando el recurso por vulneración del derecho a la tutela judicial efectiva (art. 24.1 CE), en su vertiente del derecho de acceso al recurso, la nulidad de las resoluciones impugnadas, y la retroacción de actuaciones, para que se pronuncie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exposición de los antecedentes de hecho, comienza su argumentación haciendo alusión al objeto del recurso y al orden de examen de las vulneraciones, que reconduce a dos: vulneración del derecho a la tutela judicial efectiva (art. 24.1 CE) desde la vertiente del acceso al recurso y del principio de igualdad en aplicación de la ley (art. 14.CE).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exposición hace referencia a la jurisprudencia constitucional en la materia, concretamente referida a la nueva configuración del recurso de casación por infracción de normativa autonómica (ATC 41/2018, de 16 de abril, y STC 128/2018, de 29 de noviembre), y a la doctrina sobre el recurso de casación de la Ley reguladora de la jurisdicción contencioso-administrativa tras su regulación por la Ley Orgánica 7/2015. A continuación, el fiscal finaliza su exposición respecto de la aducida vulneración del derecho a la tutela judicial efectiva (art. 24.1 CE) señalando que partiendo “de los antecedentes de la regulación del recurso de casación en cuestión, de las normas aún vigentes de la LOPJ, de la función unificadora y nomofiláctica del recurso de casación —aplicable tanto al recurso por infracción de normativa estatal y europea, como respecto de la autonómica—, y teniendo en cuenta el paralelismo entre la regulación de uno y otro, resulta posible admitir la existencia de un recurso por infracción de normativa autonómica, análogo al estatal, contra las sentencias dictadas en única instancia por los juzgados de lo contencioso-administrativo en los mismos supuestos a que el propio precepto se refiere para el Tribunal Supremo (art. 86.1 LJCA)”. Por ello, considera que “[e]n consecuencia, la interpretación del Tribunal Superior de Justicia de Extremadura excluyendo radicalmente la posibilidad de recurso de casación autonómico respecto del juzgado de lo contencioso-administrativo elimina la posibilidad de esta perspectiva de unificación de la aplicación de la normativa autonómica atribuida al Tribunal Superior de Justicia, produciendo, desde esta óptica, un vacío respecto de esta legislación, incoherente con el sistema establecido para la normativa estatal y europea atribuida al Tribunal Supremo —de cuyo acceso está excluida, en los términos ya vistos, la normativa autonómica—, sin que exista una explicación de esa exclusión ni una concreta cobertura legal, que responde a la culminación de la organización judicial tanto en el ámbito nacional —Tribunal Supremo— como en el ámbito autonómico —Tribunal Superior de Justicia—”. Por todo ello concluye que las resoluciones impugnadas vulneran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descarta la queja de vulneración del derecho de igualdad en aplicación de la ley (art. 14 CE). Para el fiscal no se han acreditado por la recurrente, como así exige la jurisprudencia constitucional, los requisitos necesarios para apreciarla. Expone que “lo que se alega es una diferente interpretación —que por inadmisión, no entra a valorar el recurso interpuesto— ‘en comparación con las soluciones contempladas en otras comunidades autónomas, que han puesto soluciones a la falta de regulación normativa’”. A su juicio, “[n]o existe, por tanto, la acreditación de un término de comparación en relación con el mismo órgano judicial del que se derive un cambio arbitrario e injustificado del criterio aplicado en otros supuestos con los que exista identidad”. Al respecto se cita la STC 128/2018, en concreto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octubre de 2019, la letrada de la Junta de Extremadura presentó sus alegaciones, interesando el otorgamiento del amparo y la nulidad de las resoluciones impugnadas, reproduciendo al efecto el contenido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octubre de 2020, se acordó señalar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 STC 99/2020,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el problema jurídico que aquí se plantea al dictar la STC 99/2020, de 22 de julio, que resolvió el recurso de amparo (núm. 5905-2018) cabecera de la serie de los interpuestos por la Junta de Extremadura contra resoluciones de la Sala de lo Contencioso-Administrativo del Tribunal Superior de Justicia de Extremadura, por las que se han inadmitido otros recursos de casación promovidos por dicha entidad territorial contra sentencias dictadas en única instancia por juzgados de lo contencioso-administrativo radicados en aquella comunidad autónoma, con base en los mismos razonamientos que traen las resoluciones aquí impugnadas, los cuales han sido contestados a su vez con idénticos motivos de impugnación a los que trae la presente demanda. Procede por tanto aplicar, para la resolución de esta última, la doctrina sentada en la sentencia citada, en la que se ha otorgado el amparo por vulneración del derecho a la tutela judicial efectiva (art. 24.1 CE), con arreglo a los razonamientos que ahora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tras aclarar que el objeto planteado en esta controversia difiere del resuelto en el ATC 41/2018, de 16 de abril, que se refería a su vez a una inadmisión del recurso de casación por infracción del derecho autonómico, pero respecto de una sentencia de la propia Sala de lo Contencioso-Administrativo del Tribunal Superior de Justicia indicado, y precisar que la queja realmente deducida en la demanda es solamente la del derecho al recurso —vertiente del art. 24.1 CE—, la STC 99/2020 determina cuál es la jurisprudencia constitucional aplicable para resolver la cuestión: de un lado, la que define y delimita justamente el derecho fundamental en liza, cuyo canon de control por este tribunal es el de aquellas resoluciones que inadmitan un recurso “con base en una causa legalmente inexistente o mediante un juicio arbitrario, irrazonable o fundado en error fáctico patente” [fundamento jurídico 2 A) c)], si bien con restricciones en ese control cuando se refiere al recurso de casación ante el Tribunal Supremo, atendida la función que se atribuye a este último órgano y la propia naturaleza extraordinaria de la casación [FJ 2 A) d)]. Y de otro lado, a la doctrina sentada por la STC 128/2018, de 29 de noviembre (seguida en las posteriores SSTC 18/2019, de 11 de febrero, y 26/2019, de 25 de febrero), que analiza la constitucionalidad del recurso de casación por infracción de normativa autonómica introducido por la Ley Orgánica 7/2015, de 21 de julio, la cual se desglosa en sus aspectos principales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jurisprudencia lleva entonces al tribunal ha afirmar, en su fundamento jurídico 3, que las resoluciones judiciales impugnadas han vulnerado el derecho al recurso (art. 24.1 CE) de la entidad recurrente,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preciso descartar como razonamientos constitucionalmente válidos las referencias que se hacen en la resolución impugnada, por un lado, a la falta de carácter orgánico del art. 86.3 LJCA y, por otro, a la omisión de una regulación específica de la tramitación del recurso de casación por infracción de normativa autonómica ante los tribunales superiores de justicia autonómicos. En ambos casos se trata de argumentos que ya han sido rechazados por la citada STC 128/2018 al enjuiciar la constitucionalidad del art. 86.3 LJCA a los que ahora es preciso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considerado que el art. 86.3 LJCA no contraviene ni el rango de ley orgánica ni tampoco el art. 122.1 CE, ya que (i) la composición de las secciones de casación debe ser conceptuada como referida a secciones ‘funcionales’ y ‘no orgánicas’, de modo que ‘no constituyen órganos judiciales distintos a los efectos de nuestra doctrina constitucional sobre el alcance de la reserva de ley orgánica que deriva del artículo 122.1 CE’ [FJ 4 b)]; y (ii)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[FJ 4 b)]. Del mismo modo, en la STC 128/2018 se ha declarado que (i) ‘la regulación contenida en los preceptos cuestionados […] [art. 86.3, párrafos segundo y tercero, LJCA] no impide una interpretación lógica y coherente que proporcione un sentido útil a la casación autonómica’, cumpliendo una función nomofiláctica y unificadora del derecho autonómico [FJ 7 a)] y (ii)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este tribunal constata que la decisión del órgano judicial, en sí misma considerada, no es irrazonable, pues no incurre en quiebras lógicas en su argumentación (STC 214/1999, de 29 de noviembre, FJ 4); tampoco es arbitraria, al no ser una ‘simple expresión de voluntad’ (STC 71/2003, de 23 de abril, FJ 5) —la sentencia expone las razones por las que considera que las resoluciones dictadas por los juzgados de lo contencioso no son recurribles en casación— ni tampoco contiene errores patentes. No obstante, el órgano judicial, al inadmitir el recurso de casación en virtud de una interpretación literal del art. 86.3 LJCA ha llegado a un resultado materialmente contrario al derecho de acceso al recurso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decisión adoptada, al no tomar en consideración que el art. 86.3 LJCA, al regular el recurso de casación autonómico, contiene una remisión implícita a la regulación del recurso de casación por vulneración del Derecho estatal o de la Unión Europea (STC 128/2018, FFJJ 6 y 7) y excluir del recurso de casación autonómico a las resoluciones de los juzgados de lo contencioso-administrativo en los supuestos en los que, de acuerdo con lo previsto en el art. 86.1, apartado segundo, LJCA, serían susceptibles de casación, está inadmitiendo este recurso sin que exista una causa legal en la que se prevea esta consecuencia, lo que, de acuerdo con la jurisprudencia de este tribunal, determina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encontrarnos con resoluciones judiciales con el mismo contenido que las enjuiciadas en nuestra STC 99/2020, ha de otorgarse también el amparo en el presente recurso por vulneración del derecho a la tutela judicial efectiva (art. 24.1 CE), de la entidad recurrente en su vertiente de acceso al recurso. En su consecuencia, acordamos la nulidad tanto del auto de inadmisión de su recurso de casación dictado por la sala a quo de 10 de septiembre de 2018, como la providencia de 11 de octubre de 2018 de la misma sala, así como la retroacción de las actuaciones al momento inmediatamente anterior a recaer la primera de ambas resoluciones, para que en su lugar se dicte otra que resulte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Junta de Extremadura,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la Sala de lo Contencioso-Administrativo del Tribunal Superior de Justicia de Extremadura, de 10 de septiembre de 2018 (recurso de casación autonómico 2-2018), y la nulidad de la providencia dictada por la misma sala, el 11 de octubre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pronunciamiento de la primera de las resoluciones anuladas, para que dicha sala pronuncie una nueva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5913-2018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una parte de la fundamentación de la sentencia recaída en el recurso de amparo núm. 5913-2018,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idénticas a las expresadas en el voto particular que suscribí a la STC 99/2020, de 22 de julio, en la que se resolvió el recurso de amparo cabecera de esta misma serie, por lo que me remito a lo expuesto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octubre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