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117</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octubre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743-2018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273-2012 seguido en el Juzgado de Primera Instancia núm. 3 de Almería.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día 8 de febrero de 2018, don Félix González Guerrero y doña Josefa Ramos Puertas, representados por el procurador de tribunales don Felipe Iracheta Martín y asistidos por el letrado don Alejandro Sánchez Arreondo, interpusieron recurso de amparo frente a la providencia del Juzgado de Primera Instancia núm. 3 de Almería, de fecha 18 de diciembre de 2017, dictada en el procedimiento de ejecución hipotecaria núm. 273-2012, en cuya virtud se inadmitió el escrito de fecha 1 de junio de 2017, en el que, entre otras peticiones, recabaron el control judicial de las cláusulas abusivas del título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los recurrentes invocan la vulneración del derecho a la tutela judicial efectiva sin indefensión (art. 24.1 CE). Fundan esa lesión en la decisión adoptada por el órgano judicial, quien en la providencia impugnada resolvió que “no ha lugar a la admisión a trámite del referido escrito en base a los motivos de nulidad señalados, al haber precluido el trámite para ello una vez dejado pasar el plazo para formular oposición, habiéndose producido, incluso, la subasta del inmueble hipotecado”. Por otrosí, estos últimos solicitan que se adopte la medida cautelar de suspensión de todas las actuaciones futuras en el procedimiento de ejecución hipotecaria ya citado, a fin de evitar que se pueda llevar a cabo el lanzamiento de la vivienda. En apoyo de esa petición invocan la consolidada doctrina de este tribunal que, según indican, aparece reflejada en el ATC 74/2013, de 8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15 de junio de 2020, la Sección Tercera de este tribunal acordó admitir a trámite el recurso de amparo, al apreciar que concurre en el mismo una especial transcendencia constitucional [art. 50.1 de la Ley Orgánica del Tribunal Constitucional (LOTC)], como consecuencia de que el órgano judicial pudiera haber incurrido en una negativa manifiesta del deber de acatamiento de la doctrina de este tribunal [STC 155/2009, FJ 2 f)]. Al haber sido remitidas con anterioridad las actuaciones judiciales, solamente se resolvió dirigir comunicación al órgano judicial interviniente, a fin de que, en plazo que no exceda de diez días proceda a emplazar a quienes hubieran sido parte en el proceso del que trae causa el presente recurso, excepto a la parte recurrente en amparo, para que en el indicado plazo de diez días puedan comparecer, si lo desean.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misma fecha, la Sección Tercera de este tribunal dictó providencia acordando formar pieza para la tramitación del incidente relativo a la suspensión interesada y conceder, conforme a lo dispuesto en el art. 56 LOTC, un plazo común de tres días a los recurrentes y al ministerio fiscal, para que aleguen lo que consideren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Según consta en el testimonio de actuaciones remitido en su día por el órgano judicial, mediante escrito de fecha 11 de junio de 2018, la entidad Buildingcenter, S.A.U., manifestó no tener interés en hacer uso de la facultad prevista en el art. 675 de la Ley de enjuiciamiento civil (LEC) y, a su vez, solicitó que se procediera al archivo del procedimiento del que trae causa el presente recurso de amparo, previo desglose de los documentos aportados con el escrito de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decreto de fecha 18 de junio de 2018 se acordó declarar terminado el procedimiento de ejecución hipotecaria núm. 273-2012, la devolución de la documentación original aportada y el archivo del referido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Los demandantes de amparo no han formulado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fecha 8 de julio de 2020 presentó sus alegaciones el Ministerio Fiscal. Tras detallar brevemente los antecedentes del presente recurso, procede a sintetizar la doctrina constitucional relativa a la suspensión cautelar regulada en el art. 56 LOTC, poniendo de relieve el carácter excepcional de esa medida y que su concesión está asociada a evitar que se causaran prejuicios de imposible o muy difícil reparación, que puedan privar de su finalidad al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presente supuesto, afirma que la petición de suspensión del procedimiento ejecutivo “no parece muy fundamentada por los propios recurrentes, ya que se limita a la mera petición sin explicitar ninguna razón salvo la mera pérdida de finalidad del recurso en el caso de que llegara a celebrarse la subasta de los bienes inmuebles en conflicto y su adjudicación a un tercero que actuaría de buena fe. Acordar la suspensión solicitada comportaría la drástica medida que supondría la paralización del procedimiento ejecutivo, que por su propia naturaleza goza de las características de celeridad y sumariedad”.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fiscal estima procedente acordar la anotación preventiva de demanda en el Registro de la Propiedad, ya que de esta manera se daría publicidad frente a terceros de la pendencia del recurso, lo que conlleva el conocimiento de los efectos que sobre la titularidad de la vivienda puede tener el otorgamiento del amparo en su caso, evitando que el hipotético tercero adquirente queda especialmente protegido por su buena fe en la adquisición. Luego, tras exponer resumidamente la doctrina constitucional respecto de la anotación preventiva de demanda y su encaje en el art. 56.3 LOTC, colige que en el presente caso “nos encontramos en uno de esos supuestos en que tratándose de un resolución de carácter patrimonial, no obstante puede acabar afectando a derechos futuros de terceros adquirentes de buena fe, por lo que de acuerdo con la doctrina de este tribunal, sería procedente la anotación preventiva de la demanda, que haría que lo que consta en el Registro de la Propiedad fuera fiel reflejo de la realidad, evitando situaciones cuya reversibilidad deviniera poco menos que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se ha expuesto en los antecedentes de esta resolución, el recurso de amparo se interpone contra la providencia de 18 de diciembre de 2017, en cuya virtud se inadmitió el incidente de nulidad de actuaciones formulado por los demandantes, en el que recabaron el control judicial de las cláusulas abusivas del título de ejecución. Asimismo, interesaron la medida cautelar de suspensión de todas las actuaciones futuras en el procedimiento de ejecución hipotecaria ya citado, a fin de evitar que, con posterioridad, se pueda llevar a cabo el lanzamiento del inmueble que ocupan.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 Ahora bien, reiteradamente este tribunal ha sostenido que “el perjuicio, para ser irreparable, debe ser real y actual y que no es posible alegar un daño futuro o hipotético o un simple temor. Y, en fin, que la pérdida de la finalidad del amparo no puede equipararse a la mayor o menor dificultad, molestia o incomodidad para el recurrente (entre otros, AATC 160/2017, de 21 de noviembre, FJ 2; 88/2018, de 17 de septiembre, FJ 3, y 84/2019, de 15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los demandantes fundan la solicitud de suspensión cautelar en el hecho de que, en un futuro, puedan ser lanzados del inmueble que ocupan. Sin embargo, el desalojo a que se refieren no está previsto que se materialice en una fecha próxima o, al menos, determinada. Es más, no parece probable que tal eventualidad pueda producirse en el seno del procedimiento de ejecución hipotecaria del que deriva el presente recurso, habida cuenta de que, como así se ha reflejado en los antecedentes de esta resolución, el indicado procedimiento se ha archivado sin que se haya interesado el lanzamiento de los demandantes. Por ello, la mera invocación de un recelo o temor o, todo lo más, de un perjuicio hipotético y futuro, no justifica la adopción de la medida cautelar que los recurrentes interesaron en el escrito de demanda, por lo que esta debe ser desestimada; sin perjuicio de que la denegación de la medida cautelar pueda ser modificada en un futuro, por la concurrencia de las circunstancias a que se refiere el art. 57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contrario, el Tribunal entiende que las circunstancias que presenta el supuesto sometido a consideración justifican la adopción de la medida cautelar de anotación preventiva de la demanda de amparo en el registro de la propiedad, en cuanto se reputa medida suficiente e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razonamientos anteriores, de conformidad con la doctrina expuesta y sin prejuzgar la decisión de fondo del recurso, conducen a denegar la suspensión solicitada y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273-2012 seguido en el Juzgado de Primera Instancia núm. 3 de Almería.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octubre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