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Andrés Ollero Tassara, don Santiago Martínez-Vares García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el recurso de súplica interpuesto por el Ministerio fiscal contra la providencia de 6 de julio de 2020 que declaró la inadmisión del presente recurso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Admitir a trámite el recurso de amparo núm. 1921-2020 interpuesto por Penrei Inversiones, S.L.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Formar la pieza separada para la tramitación del incidente de suspensión, concediendo plazo común de tres días a la parte recurrente y al Ministerio Fiscal para que aleguen lo que estimen oportuno (art. 56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 de septiembre de 2020, el fiscal ante el Tribunal Constitucional interpuso recurso de súplica contra la providencia de 6 de julio de 2020, en la que se decidió la inadmisión a trámite del recurso de amparo núm. 1921-2020, interpuesto por Penrei Inversiones, S.L., contra el auto de 3 de mayo de 2019 dictado por el Juzgado de Primera Instancia e Instrucción núm. 1 de Lorca, en el procedimiento de ejecución hipotecaria núm. 348-2018, y contra el auto de 10 de febrero de 2020, dictado por la Sección Primera de la Audiencia Provincial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el presente recurso de súplica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1 de Lorca se sigue procedimiento de ejecución hipotecaria núm. 348-2018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43.459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27 de junio de 2018 se acordó despachar ejecución frente las sociedades demandadas por la cantidad de 2451,71 € de principal más intereses y costas presupuestados. El servicio de notificaciones de la Fábrica Nacional de Moneda y Timbre remitió a la demandante de amparo, a través de la dirección electrónica habilitada, un aviso de notificación del citado auto que le fue comunicado por dicho medio el 9 de octubre de 2018. En dicha comunicación se informa que la notificación estará disponible hasta el 24 de noviembre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Por auto de 3 de mayo de 2019 se acordó su inadmisión por considerar la pretensión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apelación contra el auto de inadmisión alegando, en síntesis, que las actuaciones de notificación y requerimiento habían sido realizadas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vulnera el art. 24 CE. Tras su tramitación el recurso de apelación fue desestimado por auto de 10 de febrero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registrado en este tribunal el 16 de abril de 2020, la entidad Penrei Inversiones, S.L., representada por la procuradora de los tribunales doña Blanca Berriatua Horta y bajo la dirección del letrado don Anju Nirmala Benavent Rodriguez, interpuso recurso de amparo contra el auto de 3 de mayo de 2019 dictado por el Juzgado de Primera Instancia e Instrucción núm. 1 de Lorca, en el procedimiento de ejecución hipotecaria núm. 348-2018 y contra el auto de 10 de febrero de 2020, dictado por la Sección Primera de la Audiencia Provincial de Murcia. Por medio de otrosí, solicitó la suspensión del procedimiento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Tras la admisión a trámite de numerosos recursos de amparo de contenido idéntico o muy similar, la Sección Segunda del Tribunal Constitucional apreció que la resolución de la presente demanda de amparo no revestía especial trascendencia constitucional [art. 50.1 b) de la Ley Orgánica del Tribunal Constitucional (LOTC)]. Mediante providencia de 6 de julio de 2020, la Sección acordó no admitir a trámite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interpuso recurso de súplica ex art. 50.3 LOTC contra la providencia de 6 de julio de 2020, interesando que se dejara esta sin efecto, dictándose otra en su lugar admitiendo el recurso de amparo. El Ministerio fiscal argumenta en su recurso que el contenido de la demanda es idéntico al de otras muchas interpuestas por la misma demandante o por Penrei Inversiones, S.L., contra resoluciones idénticas de diversos juzgados de primera instancia e instrucción de Lorca en que las demandantes son ejecutadas y en los que se alegaba como motivo de especial trascendencia el mismo que el aducido en la presente demanda, siendo tales demandas de amparo admitidas al apreciarse su especial trascendencia constitucional, habiéndose resuelto varios de dichos recursos estimando la demanda y acordando la nulidad de las resoluciones objeto de amparo. Afirma que desde la sentencia del Pleno 40/2020, de 27 de febrero, se han ido sucediendo múltiples pronunciamientos en igual sentido. Indica que existen, con posterioridad a la interposición de la presente demanda, recursos de amparo que han sido admitidos por la Sala Primera y Segunda del Tribunal Constitucional con un contenido sustancialmente idéntico al de la presente demanda, lo que ocasiona una contradicción lesiva de la seguridad jurídica y, sobre todo, en el que la vulneración del derecho alegado podría adquirir una especial intensidad al haberse estimado a fecha de hoy muchas de las admitidas y rechazarse a limine las inadmitidas. Afirma la conveniencia de llegar a una solución común y homogénea de manera que la especial trascendencia constitucional pudiera quedar integrada, ante la particular situación producida en este caso, por la superior defensa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 de septiembre de 2020, se acordó dar traslado del recurso a la representación del recurrente y concederle un plazo común de tres días a fin de que alegue lo que estime pertinente (art. 93.2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formuló alegaciones mediante escrito registrado el 10 de septiembre de 2020, en el que manifiesta su plena conformidad con el recurso de súplica interpuesto por el Ministerio fiscal y solicita a este tribunal que dicte una resolución estimatoria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las alegaciones del Ministerio fiscal, procede estimar el recurso de súplica interpuesto y dejar sin efecto, en consecuencia, la providencia de esta Sección de 6 de julio de 2020 dictándose otra en su lugar por la que se acuerde la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para dar respuesta a algunos argumentos utilizados por las partes que como ya se ha afirmado por este tribunal, tras la reforma llevada a cabo por Ley Orgánica 6/2007, de 24 de mayo,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la que el recurso estaba orientado primordialmente a reparar las lesiones causadas en los derechos fundamentales y libertades públicas del demandante susceptibles de amparo (por todas, STC 208/2015, de 5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mera admisión de otros recursos de amparo idénticos al actual, presentados por el recurrente de amparo o por la otra parte ejecutada en los procedimientos de ejecución hipotecaria seguidos ante los juzgados de primera instancia e instrucción de Lorca, e incluso, el hecho de que se hayan dictado numerosas sentencias desde la STC 40/2020, estimando las demandas y reconociendo la existencia de la vulneración del derecho fundamental invocado, no es condición suficiente para 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siguiendo el argumento del Ministerio fiscal, al dictarse la providencia de inadmisión, otras secciones de este tribunal estaban admitiendo a trámite demandas idénticas a la actual apreciando la concurrencia de la causa de especial trascendencia a la que ya nos hemos referido [la señalada en la STC 155/2009, FJ 2 a)], y de una eventual futura estimación de estas demandas se derivaría una contradicción lesiva de la seguridad jurídica de la mercantil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razones de economía procesal pueden aconsejar que, tras examinar nuevamente la demanda de amparo, la Sección acuerde su admisión (ATC 239/2014, de 10 de octubre) en el propio auto estimatorio del recurso de súplica. En este caso, examinada nuevamente la demanda de amparo, procede acordar su 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el recurso de súplica interpuesto por el Ministerio fiscal contra la providencia de 6 de julio de 2020 que declaró la inadmisión del presente recurso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Admitir a trámite el recurso de amparo núm. 1921-2020 interpuesto por Penrei Inversiones, S.L.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Formar la pieza separada para la tramitación del incidente de suspensión, concediendo plazo común de tres días a la parte recurrente y al Ministerio Fiscal para que aleguen lo que estimen oportuno (art. 56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