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6209-2019, promovido por Euroinversiones Inmobiliarias Costa Sur, S. L., representada por la procuradora de los tribunales doña Blanca Berriatua Horta, con asistencia letrada de don Marcelino Gilabert García, contra los autos de 14 de noviembre de 2018 y 17 de septiembre de 2019 dictados por el Juzgado de Primera Instancia e Instrucción núm. 4 de Lorca en el proceso de ejecución hipotecaria núm. 348-2018. Ha comparecido sin formular alegaciones Pera Assets Designated Activity Company, representada por la procuradora de los tribunales doña María Claudia Munteanu Null con asistencia letrada de don Alejandro Ingram Solís.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octubre de 2019, Euroinversiones Inmobiliarias Costa Sur, S.L., representada por la procuradora de los tribunales doña Blanca Berriatua Horta, con asistencia letrada de don Marcelino Gilabert García, interpone recurso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esta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348-2018 promovido por la entidad Banco de Sabadell, S.A., frente a la sociedad Euroinversiones Inmobiliarias Costa Sur, S.L., en calidad de prestataria e hipotecante.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18 de junio de 2018, el servicio de notificaciones de la Fábrica Nacional de Moneda y Timbre remite a la demandante de amparo, a través de la dirección electrónica habilitada, un aviso de notificación. Informa de que la notificación estará disponible desde el 20 de junio hasta el 5 de agosto. El 27 de julio la recurrente de amparo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28 de agosto de 2018, la sociedad demandada formula oposición a la ejecución despachada. Por auto de 14 de noviembre del mismo año fue inadmitida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27 de julio de 2018. La comunicación remitida a través de la dirección electrónica habilitada no sería más que un aviso de puesta a disposición o descarga de su contenido durante un plazo determinado. Entenderlo de otro modo vulneraría el art. 24 CE, además de los arts. 135, 152, 160 y 162 de la Ley 1/2000, de 7 de enero,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17 de septiembre de 2019. El órgano judicial reafirma que la notificación se practicó el 20 de junio de 2018, fecha en la que se materializó correctamente su puesta a disposición en aplicación estricta del art. 162 LEC. A efectos de computar el plazo para formular oposición a la ejecución hipotecaria no puede tomarse en consideración la fecha en que el acceso se realizó efectivamente; de lo contrario se estaría dejando al arbitrio de una de las partes el cumplimiento de los términos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y a un proceso con garantías y sin indefensión (art. 24, apartados 1 y 2, CE). La interpretación de la legislación procesal habría privado injustamente a la recurrente de su derecho a formular oposición a la ejecución hipotecaria. Tratándose de un primer emplazamiento, debió realizarse del modo tradicional (art. 273 LEC). El órgano judicial habría incumplido su obligación de asegurar, no ya la legalidad formal de los actos de comunicación, sino el cumplimiento efectivo de su finalidad constitucional. La demanda solicita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marzo de 2020, la Sección Segunda de este tribunal acuerda admitir a trámite el recurso toda vez que su resolución puede dar ocasión para aclarar o cambiar doctrina como consecuencia de reformas legislativas relevantes para la configuración de un derecho fundamental [STC 155/2009, FJ 2 b)]. También acuerda dirigir comunicación al Juzgado de Primera Instancia e Instrucción núm. 4 de Lorca, a fin de que, en el plazo de diez días, remita certificación o fotocopia adveradas de las actuaciones correspondientes a los autos de ejecución hipotecaria y emplace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acuerda formar la oportuna pieza para la tramitación del incidente de suspensión. Seguidos los trámites correspondientes, la Sala Primera de este tribunal, mediante ATC 81/2020, de 20 de julio,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31 de julio de 2020, la entidad Pera Assets Designated Activity Company, representada por la procuradora de los tribunales doña Maria Claudia Munteanu Null y bajo la dirección letrada de don Alejandro Ingram Solís, hace constar que la entidad Banco de Sabadell, S.A., le ha cedido el crédito hipotecario y que, en virtud del régimen de sucesión procesal, las actuaciones deben continuarse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5 de agosto de 2020, el secretario de justicia de la Sala Primera tiene por personada y parte en el presente proceso a la mercantil Pera Assets Designated Activity Company, tiene por recibidos los testimonios de las actuaciones remitidos por el juzgado y, conforme al art. 52 LOTC, da un plazo de veinte días al Ministerio Fiscal y a las partes para la vista del expediente y la formulación de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presenta su escrito de alegaciones, registrado en este tribunal el 17 de septiembre de 2020. Resultaría íntegramente aplicable la doctrina de la STC 40/2020, de 27 de febrero, que proyectó sobre un asunto prácticamente idéntico lo establecido en otras resoluciones, entre otras, la STC 47/2019, de 8 de abril. Solicita, en consecuencia, el otorgamiento del amparo, el reconocimiento de la vulneración del derecho de la recurrente a la tutela judicial efectiva sin indefensión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septiembre de 2020 tiene entrada en el registro de este tribunal escrito de la recurrente en amparo, que ratifica las alegaciones expuestas en la demanda y trascribe en parte los fundamentos jurídicos de la STC 40/2020,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2020 se señala para votación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14 de noviembre de 2018 y 17 de septiembre de 2019 dictados por el Juzgado de Primera Instancia e Instrucción núm. 4 de Lorca en el proceso de ejecución hipotecaria núm. 348-2018.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14 de noviembre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40/2020, de 27 de febrero, ha estimado un recurso de amparo basado en los mismos motivos y dirigido contra autos de contenido muy similar de otro juzgado de Lorca. Corresponde, en consecuencia, dar por reproducidos los fundamentos jurídicos de aquella sentencia y, en consecuencia, declarar que los autos de 14 de noviembre de 2018 y 17 de septiembre de 2019 del Juzgado de Primera Instancia e Instrucción núm. 4 de Lorca en el proceso de ejecución hipotecaria núm. 348-2018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 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14 de noviembre de 2018 y 17 de septiembre de 2019 dictados por el Juzgado de Primera Instancia e Instrucción núm. 4 de Lorca en el proceso de ejecución hipotecaria núm. 348-2018,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