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7513-2019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7513-2019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358-2018,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diciembre de 2019, la entidad Euroinversiones Inmobiliarias Costa Sur, S.L., representada por la procuradora de los tribunales doña Blanca Berriatua Horta y bajo la dirección del letrado don Marcelino Gilabert García, interpuso recurso de amparo contra los autos de 14 de noviembre de 2018 y de 30 de octubre de 2019, dictados por el Juzgado de Primera Instancia e Instrucción núm. 4 de Lorca, en el procedimiento de ejecución hipotecaria núm. 358-2018,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358-2018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43.278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18 de junio de 2018 se acordó despachar ejecución frente las sociedades demandadas por la cantidad de 8 199,12 € de principal y 2 459,73 €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20 de junio de 2018. En dicha comunicación se informa que la notificación estará disponible hasta el 31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27 de agosto de 2018. Por auto de 14 de noviembre de 2018 se acordó su inadmisión por considerar la pretensión extemporánea, tomando como fecha de notificación el 20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20 de junio de 2018, sino el 27 de julio,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20 de junio hasta el 5 de agosto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30 de octubre de 2019. Según esta resolución, la recurrente tiene la condición de persona jurídica y, por tanto, está obligada a relacionarse con la administración de justicia por medios electrónicos. “Así, pese a las alegaciones del recurrente que pretende mantener que el escrito de oposición fue presentado en plazo para ello por entender que el auto despachando la ejecución y el requerimiento efectuado debe entenderse notificado en fecha 27 de julio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2020 la Sección Segunda de este tribunal acordó no admitir a trámite el recurso de amparo por no apreciar en el mismo la especial trascendencia constitucional que, como condición para su admisión, requiere el art. 50.1 b) de la Ley Orgánica del Tribunal Constitucional (STC 155/2009, de 25 de junio, FJ 2). Dicha providencia se dejó sin efecto en virtud del auto de 18 de septiembre de 2020 que estimó el recurso de súplica interpuesto contra la misma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sendas providencias de 21 de septiembre de 2020 la Sección Segunda de este tribunal acordó admitir a trámite el recurso de amparo y dirigir comunicación al Juzgado de Primera Instancia e Instrucción núm. 4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 por otra parte se acordaba formar pieza separada para la tramitación de la suspensión del procedimiento de ejecución hipotecaria solicitada en el recurso y conceder plazo común de tres días al Ministerio Fiscal y al solicitante de amparo de conformidad con lo prevenido en 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7 de octubre de 2020 la parte demandante formuló sus alegaciones, reiterando lo expuesto en el otrosí de su demanda y trascribiendo como fundamento de su pretensión lo expresado en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22 de octubre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358-2018,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 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155/2019 y 156/2019, de 25 de noviembre, FJ 3, y 170/2019, 171/2019, 173/2019, 174/2019 y 177/2019 de 16 de diciembre, FJ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FJ 3, y 170/2019, 171/2019, 173/2019, 174/2019 y 177/2019,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358-2018,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