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6820-2019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6820-2019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 resolución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noviembre de 2019, don Mourad Hlal, representado por la procuradora de los tribunales doña Jennifer Vicente Benito, bajo la dirección de la letrada doña Sonia Ruiz Higes, interpuso recurso de amparo contra el auto del Juzgado de Primera Instancia núm. 1 de Guadalajara de 11 de octubre de 2019, pronunciado en el juicio verbal de desahucio núm. 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el recurrente solicita la suspensión del procedimiento de ejecución de título judicial núm. 102-2018, al que ha dado lugar la sentencia dictada en el juicio verbal de desahucio núm. 4-2018, argumentando que como consecuencia del mismo se encuentra embargada su nómina.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17 de septiembre de 2020,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 los recurrentes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13 de octubre de 2020, presentó alegaciones interesando que no se proceda a la suspensión solicitada por no acreditarse la existencia de daños irreversibles o de muy difícil reparación que impidan indemnizar el perjuicio económico aducido ni la efectividad de la restauración del derecho fundamental vulnerado, en caso de un eventual otorgamiento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10 de noviembre de 2020, presentó alegaciones argumentado que (i) ya le había sido embargado de su salario la totalidad del principal de la cantidad adeudada, estando todavía pendiente “la ulterior liquidación de intereses y costas de la contraparte, la cual se ha interesado se proceda a practicar ya por la parte demandante”; (ii) que esta circunstancia ha supuesto desatender a las necesidades de su familia, siendo el único integrante del núcleo familiar que desempeña un trabajo remunerado, y (iii) “de no suspenderse el curso de las actuaciones el recurso perdería parte de su esencia, pues una de las consecuencias nefastas que produjo la actuación por la cual se vulneró el derecho a un proceso con las debidas garantías sin indefensión, fue el gran impacto económico que produjo la resolución en la economía de mi mandante”; sin que por lo avanzado del procedimiento de liquidación se cause ningún perjuicio a la contraparte.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el demandante en amparo consistente en que se suspenda un procedimiento de ejecución de títulos judiciales en la medida en que le ha supuesto un grave quebranto económico por haber estado embargado su sueldo para hacer frente a la totalidad del pago del principal al que fue condenado y está pendiente todavía la ulterior liquidación de intereses y costas de la contraparte, cuya práctica por la parte demandante se ha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de la Ley Orgánica del Tribunal Constitucional (LOTC) dispone que la interposición de un recurso de amparo no suspenderá los efectos del acto o sentencia impugnados y el art. 56.2 LOTC concreta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de manera reiterada en interpretación de este precepto que (i)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y que debe entenderse por tal aquel que provoque que el restablecimiento del recurrente en los derechos fundamentales cuya vulneración denuncia sea tardío e impida definitivamente que la restauración sea efectiva; (ii) la acreditación del perjuicio es carga del recurrente, quien debe precisar los concretos perjuicios que de la ejecución se deriven, así como justificar o argumentar razonadamente su irreparabilidad, que el perjuicio irreparable debe ser real, sin que sea posible alegar un perjuicio futuro o hipotético o un simple temor y que la pérdida de la finalidad del amparo no puede equipararse a la mayor o menor dificultad, molestia o incomodidad para el recurrente, y (iii) en lo que se refiere a la ejecución de los pronunciamientos con efectos fundamentalmente patrimoniales o de contenido económico, el tribunal ha consagrado que, con carácter general, la ejecución que acarrea tales efectos ni causa un perjuicio irreparable al obligado al pago, ni puede hacer perder al amparo su finalidad, al ser posible la restitución íntegra de lo ejecutado (así, por ejemplo, ATC 97/2019, de 16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suspensión que se solicita es de exclusivo carácter económico y lo es, además, respecto de una situación que no es todavía actual y sin que se hayan alegado ni acreditado los eventuales perjuicios que pudieran producirse. En efecto, la circunstancia de que haya estado embargado el salario del recurrente en pago de la totalidad del principal de la condena económica y que esto hubiera provocado un eventual impacto en su economía familiar es un perjuicio que se ubica en el pasado y que ya ha agotado sus efectos, por lo que no puede ser enervado mediante una decisión de suspensión. Por otro lado, los eventuales perjuicios que se alegan vinculados al pago de los intereses y costas no dejan de ser hipotéticos en este momento, ya que, tal como reconoce el recurrente, ni siquiera han sido cuantificados todavía ni tampoco respecto de ellos se ha acordado, lógicamente, ningún tipo de embargo.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tal como también interesa el Ministerio Fiscal, no resulta procedente en este momento acceder a la suspensión solicitada, sin perjuicio de que la alteración de las actuales circunstancias pudiera, en su caso, conllevar una nueva solicitud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 resolución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