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7578-2019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7578-2019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361-2018 seguido en el Juzgado de Primera Instancia e Instrucción núm. 4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30 de diciembre de 2019, tuvo entrada en el registro general de este Tribunal Constitucional un escrito de la procuradora doña Blanca Berriatua Horta, en representación de la entidad Euroinversiones Inmobiliarias Costa Sur, S.L., por el que interpuso recurso de amparo contra el auto de 20 de noviembre de 2018, del Juzgado de Primera Instancia e Instrucción núm. 4 de Lorca, que inadmitió el escrito de oposición a la ejecución hipotecaria promovida por Banco de Sabadell, S.A., y contra el auto del mismo Juzgado, de 11 de noviembre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20 de noviembre de 2018, el juzgado de primera instancia e instrucción ya indicado dictó un auto en el procedimiento de ejecución hipotecaria núm. 361-2018 por el que acordó: “Inadmitir a trámite la oposición formulada por la parte ejecutada Euroinversiones Inmobiliarias Costa Sur, S.L., y Penrei Inversiones, S.L., […] por estar presentada fuera de plazo”, advirtiendo en pie de recurso, por error, que contra dicha resolución cabía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establece en el artículo 134 de la LEC, la improrrogabilidad de los plazos establecidos en la misma, y en el artículo 136 de la LEC, que transcurrido o pasado el término señalado para la realización de un acto procesal de parte se producirá la preclusión y se perderá la oportunidad de realizar el acto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Establece el artículo 695 de la LEC, que la parte ejecutada pueda oponerse al despacho de ejecución en los términos previstos en dicho artículo y en el plazo de diez días a contar desde el siguiente a la notificación del auto y del decreto. Constando en el presente supuesto que la parte ejecutada se ha opuesto una vez transcurrido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lo admitió a trámite, dictando auto el 11 de noviembre de 2019 en sentido desestimatorio, con confirmación de la resolución recurrida, en virtud de los motivos expresados en su fundamento de Derecho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ser desestimado el recurso de reposición interpuesto por ser el auto recurrido conforme a la normativa procesal vigente en materia de oposición a la ejecución (artículos 556.1 LEC y concordantes) y de actos de comunicación. Así, pese a las alegaciones del recurrente que pretende mantener que el escrito de oposición fue presentado en plazo para ello por entender que el auto despachando la ejecución y el requerimiento efectuado deben entenderse notificados en fecha 3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artículos citados como infringidos por la parte recurrente (arts. 135, 152, 162 y 273 y siguientes de la LEC) han sido perfectamente respetados en el presente procedimiento. La propia parte recurrente afirma estar obligada a utilizar los medios electrónicos en sus comunicaciones con el juzgado y afirma que la notificación se remitió a la dirección de correo electrónico ‘habilitada’ del titular a las que se refiere el art. 162 de la LEC, que tiene carácter de norma especial, destinada a regular los actos de comunicación por medios electrónicos o similares. No existiendo discusión ni duda acerca de la aplicabilidad de dicho precepto, al reconocer la propia recurrente la obligatoriedad en el uso de dichos medios en las relaciones con la Administración de Justicia, se llega a la conclusión de que lo dispuesto en el mismo es claro y ha sido respetado. Del propio documento núm. 1 aportado con el escrito interponiendo recurso de reposición y de las propias alegaciones vertidas por la recurrente, resulta la correcta recepción de la notificación en fecha 27/06/2018, fecha en la que se materializó la ‘puesta a disposición’ de la notificación correctamente y del propio documento resulta que pasaron más de tres días desde la misma sin que se hubiera accedido al contenido hasta el día 3 de agosto de 2018, por tanto, en aplicación estricta de lo dispuesto en el apartado segundo del art. 162 de la LEC, sin que se haya justificado por el recurrente una imposibilidad de acceder al sistema en este plazo. Por todo ello debe ser desestimado el recurso interpuesto, al ser el auto recurrido plenamente ajustado a Derecho, al inadmitir un escrito que fue presentado fuera de plazo cuando ya había precluido la posibilidad de hacerlo”.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“Contra este auto no cabe recurso alguno, sin perjuicio de reproducir la cuestión objeto de la reposición al recurrir, si fuera posible, la resolución definitiva (artículo 454 de la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20 de noviembre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es importante hacer mención a la “recientísima sentencia del Tribunal Constitucional STC 47/2019, de 8 de abril de 2019, que no solo confirma todo lo dicho hasta ahora en el presente recurso de amparo, sino que lo refuerza, en el sentido de que en modo alguno debe entenderse que, tratándose del emplazamiento, este no se efectúe en el domicilio como impone el artículo 155.1 de la Ley de enjuiciamiento civil”, sin que a ello obste la argumentación dada por el auto que inadmite la oposición; pasando a reproducir pasajes de los fundamentos jurídicos 2 a 5 de dicha STC 47/2019.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 11 de noviembre de 2019 que desestimó la reposición, se rechaza por la recurrente que los preceptos citados por el juzgado fundamenten su decisión, en cuanto “no es menos cierto que, en ningún precepto de la Ley de enjuiciamiento civil se diga que al proceso civil se le aplican las normas del proceso administrativo, ni existe ningún precepto en ninguna otra norma que otorgue a la normativa del proceso administrativo el mismo rango o aplicabilidad que puedan tener la norma procesal civil, la penal, la contencioso-administrativa o la social, que disponen de regulación específica a través de normas concretas, puesto que, mientras la administrativa regula un tipo de procedimiento específico, las otras hacen referencia a procesos que se plantean ante Tribunales de Justicia, que aunque forman parte de la ‘administración’, tienen su normativa específica”.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oposición al despacho de ejecución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 hacer perder al recurso de amparo su finalidad”, por lo que solicita “la suspensión de la continuación del procedimiento de ejecución hipotecaria 361-2018 seguido ante el Juzgado de Primera Instancia e Instrucción número 4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14 de enero de 2020 solicitando al juzgado a quo la remisión de certificación o fotocopia adverada de las actuaciones correspondientes del procedimiento de ejecución hipotecaria núm. 361-2018.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dictó providencia el 4 de noviembre de 2020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 los siguientes motivos: 1.- El recurso plantea un problema o afecta a una faceta de un derecho fundamental sobre el que no hay doctrina de este tribunal [STC 155/2009, FJ 2 a)]. 2.- El recurso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habiéndose interesado anteriormente la remisión de copia testimoniada de la ejecución hipotecaria 361-2018, en aplicación de lo dispuesto en el artículo 51 de la Ley Orgánica de este Tribunal, diríjase atenta comunicación al Juzgado de Primera Instancia e Instrucción núm. 4 de Lorca a fin de que, en plazo que no exceda de diez días, se proceda a emplazar a quienes hubieran sido parte en el procedimiento, excepto la parte recurrente en amparo, para que, si lo desean, puedan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nueva providencia dictada por la Sección Cuarta de este tribunal en la misma fecha de la admisión del recurso, el 4 de noviembre de 2020,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entidad recurrente presentó su escrito de alegaciones con fecha 12 de noviembre de 2020,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 perder al recurso de amparo su finalidad y provocaría perjuicios patrimoniales para mi representada de imposible o difícil reparación”. Invoca a su favor lo resuelto por este tribunal en sus AATC 21/2018, de 5 de marzo, y 58/2018, de 4 de junio, reiterando a renglón seguido las vulneraciones constitucionales de fondo que aduce en su demanda, e indicando que de no adoptarse la medida y “seguir adelante la ejecución podría producirse la transmisión irrecuperable del dominio del bien inmueble, creando una situación difícilmente reversible que menoscabaría los fines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su parte, la fiscal ante este Tribunal Constitucional formalizó su escrito de alegaciones en esta pieza el 16 de noviembre de 2020, interesando que adoptemos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56.2 de la Ley Orgánica del Tribunal Constitucional (LOTC) y doctrina general sobre la improcedencia de la suspensión del acto impugnado, excepto en situaciones de daños irreparables y siempre que la suspensión no cause las perturbaciones graves que refiere dicho precepto, con cita del ATC 127/2015, de 27 de julio, FJ 1, señala el escrito que la entidad recurrente solicita la suspensión del procedimiento ejecutivo “sin explicitar ninguna razón que permita afirmar que la continuación del procedimiento judicial incluso con desplazamiento posesorio, provoque un perjuicio determinante de la pérdida de la finalidad del recurso de amparo”; por lo que no ha de accederse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continúa diciendo, “para conseguir el efecto protector deseado por la recurrente y enervar los indeseables efectos de la paralización del procedimiento que por su propia naturaleza goza de las características de celeridad y sumariedad, se puede acordar la anotación preventiva de la demanda de amparo en el registro de la propiedad, ya que de esta manera se daría publicidad frente a terceros de la pendencia del recurso, lo que conlleva el conocimiento de los efectos que sobre la titularidad de la finca puede tener el otorgamiento del amparo en su caso, evitando que el hipotético tercero adquirente quede especialmente protegido por su buena fe en la adquisición”. Añade que se trata esta última de una medida que el tribunal puede adoptar ex art. 56.3 LOTC, incluso de oficio, con cita del ATC 2/2019, de 9 de enero, FJ 4, que reproduce. Considera la fiscal que en este caso “la tutela que pudiera otorgarse por este tribunal no sería completa si se deja abierta la posibilidad de que la finca sea transmitida a un tercero de buena fe mientras se sustancia y resuelve el presente proceso de amparo, por lo que se interesa la anotación preventiva de la demanda en el registro de la propiedad, evitando así situaciones cuya reversibilidad seria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361-2018 seguido en el Juzgado de Primera Instancia e Instrucción núm. 4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la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donde se plantearon los mismos argumentos que aquí para solicitar la suspensión por la otra entidad ejecutada.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 en relación con el presente recurso de amparo instado por la entidad Euroinversiones Inmobiliarias Costa Sur, S.L.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361-2018 seguido en el Juzgado de Primera Instancia e Instrucción núm. 4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