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Rectificar el error material constatado en la sentencia de 16 de noviembre de 2020, en cuanto a la identificación del abogado del demandante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En el encabezamiento y en el antecedente primero, donde dice “Lucena”, debe decir “Ugena”.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servicio de correos el 1 de marzo de 2019 y dirigido a este tribunal, donde fue registrado el 4 de marzo siguiente, don Esteban Salas Vargas ponía de manifiesto su voluntad de interponer recurso de amparo frente a la providencia de 1 de febrero de 2019 dictada por el Juzgado de Primera Instancia e Instrucción núm.1 de Alcalá de Guadaira en el procedimiento de divorcio contencioso núm. 859-2015, solicitando la suspensión del plazo para interponer recurso de amparo hasta que se le designara abogado y procurador del turno de oficio. Efectuado el nombramiento, por escrito registrado en este tribunal el día 10 de junio de 2019, el demandante, representado por la procuradora de los tribunales doña María Isabel García Martínez y asistido por el letrado don Luis Emilio Ugena Yustos, interpuso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encabezamiento y en el primer antecedente de la sentencia de 16 de noviembre de 2020, por el que se declara vulnerado el derecho del demandante de amparo a la tutela judicial efectiva sin indefensión fue identificado como letrado del recurrente de amparo “don Luis Emilio Lucena Yustos”.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27 de noviembre de 2020, la representación del demandante de amparo ha solicitado que se rectifique el primer apellido del letrado director, a fin de que conste correctamente “Ugena” y no “Lucena”.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sus sentencias, precepto que ha de entenderse extendido al resto de resoluciones que este Tribunal Constitucional tiene competencia para dictar. Esta actuación judicial, de acuerdo con el art. 267.1 de la Ley Orgánica del Poder Judicial, deberá limitarse a “aclarar algún concepto oscuro y rectificar cualquier error material de que adolezcan”, pero no podrá suponer, sin embargo, variación o modificación de la resolución judicial (entre otros, AATC 439/2006, de 11 de diciembre, 363/2007, de 11 de septiembre, 70/2008, de 26 de febrero, 32/2010, de 2 de marzo, 134/2013, de 3 de junio, 160/2014 de 9 de junio, 77/2015, de 7 de mayo y 198/2015,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solicita la rectificación de un error material contenido en la sentencia de 16 de noviembre de 2020, en relación con el primer apellido del abogado del recurrente, a fin de que se haga constar correctamente el mismo como “Ugena”, pues por error se había trascrito en la sentencia “Lucena”.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Constando y siendo notorio el error material advertido, procede la rectificación solicitada. Por ello, en el encabezamiento y en el primer antecedente de la sentencia debe sustituirse el apellido de “Lucena”, haciéndose constar “Ugena”.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Rectificar el error material constatado en la sentencia de 16 de noviembre de 2020, en cuanto a la identificación del abogado del demandante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En el encabezamiento y en el antecedente primero, donde dice “Lucena”, debe decir “Ugena”.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