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369-2018,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febrero de 2020, la entidad Euroinversiones Inmobiliarias Costa Sur, S.L., representada por la procuradora de los tribunales doña Blanca Berriatua Horta y bajo la dirección del letrado don Marcelino Gilabert García, interpuso recurso de amparo contra los autos de 15 de noviembre de 2018 y de 12 de diciembre de 2019, dictados por el Juzgado de Primera Instancia e Instrucción núm. 4 de Lorca en el proceso de ejecución hipotecaria núm. 369-2018,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369-2018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núm. 43.323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las sociedades demandadas por la cantidad de 180 193,46 € de principal y 28 850 €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26 de junio de 2018. En dicha comunicación se informa que la notificación estará disponible hasta el 11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29 de agosto de 2018. Por auto de 15 de noviembre de 2018 se acordó su inadmisión por considerar la pretensión extemporánea, tomando como fecha de notificación el 25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25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además de infringir los arts. 135, 152, 160, y 162 de la Ley de enjuiciamiento civil (LEC), vulnera el art. 24 CE. Tras su tramitación, el recurso de reposición fue desestimado por auto de 12 de diciembre de 2019, en cuyo fundamento jurídico único se dice literalmente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y añade que de los documentos que aporta la recurrente y de sus propias alegaciones “resulta la correcta recepción de la notificación en fecha 26/06/2018,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precluído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común de las administraciones públicas,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Concluye la entidad recurrente afirmando que las resoluciones impugnadas no han dado cumplimiento a las exigencias constitucionales reconocidas para los actos de notificación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si como consecuencia de su continuación se decretara “la celebración de subasta y la eventual adjudicación a terceros, puede hacer esto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auto de 22 de octubre de 2020, la Sección Segunda de este tribunal acordó estimar el recurso de súplica planteado por el Ministerio Fiscal, y admitir a trámite el recurso de amparo, acordando asimismo la formación de la pieza separada para la tramitación del incidente de suspensión, concediendo el plazo común de tres días a la parte recurrente y al Ministerio Fiscal para que aleguen lo que estimen oportuno (art. 56 LOTC). Por diligencia de ordenación de 23 de octubre de 2020, se dirige comunicación al Juzgado de Primera Instancia e Instrucción núm. 4 de Lorca, a fin de que emplazase a quienes hubieran sido parte en el procedimiento de ejecución hipotecaria núm. 369-2018, excepto la parte recurrente en amparo, para que en el plazo de diez días pudieran comparecer en el recurso de amparo, si lo desean. En esta providencia no se reclaman las actuaciones por estar ya incorporadas al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el 4 de noviembre 2020, la parte demandante formuló sus alegaciones, reiterando lo dicho en el otrosí de su demanda, solicitando la suspensión de la ejecución del hipotecaria y trascribiendo parte de los AATC 21/2018, de 5 de marzo; 58/2018 de 4 de junio, y 117/2018, de 29 de octubre, que reconocen la posibilidad de suspender la ejecución hipotecaria una vez admitido a trámite el recurso de amparo. Sostiene la mercantil recurrente que de no adoptarse la medida de suspensión y de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10 de noviembre de 2020, interesa que se acuerde la anotación preventiva de la demanda en el registro de la propiedad, aunque esta última medida no haya sido solicitada en el recurso de amparo, descartando la medida de suspensión del procedimiento ejecutivo. Tras exponer la doctrina de este tribunal sobre suspensión de resoluciones y actos impugnados, considera que la aplicación al caso de dicha doctrina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369-2018,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 varios autos que resuelven incidentes de ejecución de esta misma serie de recursos de amparo. Valgan como ejemplo, en relación con el mismo recurrente en amparo, los recientes AATC 123/2020, de 19 de octubre; 110/2020, de 21 de septiembre; 103/2020, de 21 de septiembre; 51/2020, de 15 de junio , y 78/2020 y 81/2020, de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369-2018,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