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167</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696-2020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696-2020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369-2018, seguido en el Juzgado de Primera Instancia e Instrucción núm. 4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 de febrero de 2020, la entidad Penrei Inversiones, S.L., representada por la procuradora de los tribunales doña Blanca Berriatua Horta y bajo la dirección del letrado don Anju Nirmala Benavent Rodriguez, interpuso recurso de amparo contra los autos de 15 de noviembre de 2018 y de 12 de diciembre de 2019, dictados por el Juzgado de Primera Instancia e Instrucción núm. 4 de Lorca en el procedimiento de ejecución hipotecaria núm. 369-2018, por los que, respectivamente, se inadmitió por extemporánea la oposición a la ejecución hipotecaria y se confirmó esta última decisión al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369-2018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núm. 43.323 del registro de la propiedad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21 de junio de 2018 se acordó despachar ejecución frente las sociedades demandadas por la cantidad de 180 193,46 € de principal y 28 850 € como intereses y costas presupuestados. El servicio de notificaciones de la Fábrica Nacional de Moneda y Timbre remitió a la demandante de amparo, a través de la dirección electrónica habilitada, un aviso de notificación del citado auto que le fue comunicado por dicho medio el 26 de junio de 2018. En dicha comunicación se informa que la notificación estará disponible hasta el 11 de agosto del mismo año, accediendo la recurrente de amparo efectivamente a la página web y a la notificación dentro del plazo en que la misma se encontraba disponible.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legal de Penrei Inversiones, S.L., presentó escrito de oposición a la ejecución despachada con fecha 29 de agosto de 2018. Por auto de 15 de noviembre de 2018 se acordó su inadmisión por considerar la pretensión extemporánea, tomando como fecha de notificación el 25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25 de junio de 2018, sino en la fecha en que accedió a la web y procedió a su descarga, y que la comunicación remitida a través de la dirección electrónica habilitada no puede entenderse más que un aviso de puesta a disposición o descarga de su contenido durante un plazo determinado, pues entenderlo de otro modo, además de infringir los arts. 135, 152, 160, y 162 de la Ley de enjuiciamiento civil (LEC), vulnera el art. 24 CE. Tras su tramitación el recurso de reposición fue desestimado por auto de 12 de diciembre de 2019, en cuyo FJ único se afirma que “debe tenerse en cuenta la fecha en la que efectivamente tuvo la parte posibilidad de acceder a las mismas, de lo contrario se estaría dejando al arbitrio de las partes obligadas a utilizar el sistema electrónico de comunicaciones el cumplimiento de los plazos procesales dispuesto en la normativa” y añade que de los documentos que aporta la recurrente y de sus propias alegaciones “resulta la correcta recepción de la notificación en fecha 26/06/2018, fecha en la que se materializó la `puesta a disposición´ de la notificación correctamente y del propio documento resulta que pasaron más de tres días desde la misma sin que se hubiera accedido al contenido hasta el día 1 de agosto de 2018, por tanto, en aplicación estricta de lo dispuesto en el apartado segundo del art. 162 LEC, sin que se haya justificado por el recurrente una imposibilidad de acceder al sistema en este plazo. Por todo ello debe ser desestimado el recurso interpuesto, al ser el auto recurrido plenamente ajustado a derecho, al inadmitir un escrito que fue presentado fuera de plazo cuando ya había precluído la posibilidad de hacerlo”.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la interpretación ofrecida en el auto objeto de impugnación, que se apoya en la Ley de procedimiento administrativo común de las administraciones públicas, eludiendo las garantías exigibles para las notificaciones de un proceso judicial, cercena el derecho a la tutela judicial efectiva al privar a la recurrente del derecho a formular oposición en un proceso de ejecución hipotecaria. A tal fin, aduce que siguió la literalidad de las instrucciones contenidas en un correo electrónico que recibió procedente del servicio de notificaciones electrónicas, accediendo al contenido de la notificación dentro del plazo establecido en el mismo. Concluye la entidad recurrente afirmando que las resoluciones impugnadas no han dado cumplimiento a las exigencias constitucionales reconocidas para los actos de notificación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si como consecuencia de su continuación se decretara “la celebración de subasta y la eventual adjudicación a terceros, puede hacer esto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auto de 22 de octubre de 2020, la Sección Segunda de este tribunal acordó estimar el recurso de súplica planteado por el Ministerio Fiscal, y admitir a trámite el recurso de amparo, acordando asimismo la formación de la pieza separada para la tramitación del incidente de suspensión, concediendo el plazo común de tres días a la parte recurrente y al Ministerio Fiscal para que aleguen lo que estimen oportuno (art. 56 LOTC). Por diligencia de ordenación fechada el 26 de octubre de 2020, se dirige comunicación al Juzgado de Primera Instancia e Instrucción núm. 4 de Lorca, a fin de que emplazase a quienes hubieran sido parte en el procedimiento de ejecución hipotecaria núm. 369-2018, excepto la parte recurrente en amparo, para que en el plazo de diez días pudieran comparecer en el recurso de amparo, si lo desean. En esta providencia no se reclaman las actuaciones por estar ya incorporadas al expediente.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través de escrito presentado el 4 de noviembre 2020, la parte demandante formuló sus alegaciones, reiterando lo dicho en el otrosí de su demanda, solicitando la suspensión de la ejecución del hipotecaria y trascribiendo parte de los AATC 21/2018, de 5 de marzo; 58/2018 de 4 de junio, y 117/2018, de 29 de octubre, que reconocen la posibilidad de suspender la ejecución hipotecaria una vez admitido a trámite el recurso de amparo. Sostiene la mercantil recurrente que de no adoptarse la medida de suspensión y de “seguir adelante la ejecución podría producirse la transmisión irrecuperable del dominio del bien inmueble, creando una situación difícilmente reversible que menoscabaría los fines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registrado el 10 de noviembre de 2020, interesa que se acuerde la anotación preventiva de la demanda en el registro de la propiedad, aunque esta última medida no haya sido solicitada en el recurso de amparo, descartando la medida de suspensión del procedimiento ejecutivo. Tras exponer la doctrina de este tribunal sobre suspensión de resoluciones y actos impugnados, considera que la aplicación al caso de dicha doctrina nos debe llevar a considerar que nos encontramos en uno de esos supuestos en que, tratándose de una resolución de carácter patrimonial, no obstante puede acabar afectando a derechos futuros de terceros adquirentes de buena fe, por lo que de acuerdo con la doctrina de este tribunal, sería procedente la anotación preventiva de la demanda, que haría que lo que consta en el registro de la propiedad fuera fiel reflejo de la realidad, evitando situaciones cuya reversibilidad deviniera poco menos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369-2018, seguido en el Juzgado de Primera Instancia e Instrucción núm. 4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de 10 de febrero,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su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en varios autos que resuelven incidentes de ejecución de esta misma serie de recursos de amparo. Valgan como ejemplo, en relación con el mismo recurrente en amparo, los recientes AATC 123/2020, de 19 de octubre; 110/2020, de 21 de septiembre; 103/2020, de 21 de septiembre;  51/2020, de 15 de junio, y 78/2020 y 81/2020, de 20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369-2018, seguido en el Juzgado de Primera Instancia e Instrucción núm. 4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