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348-2018, seguido en el Juzgado de Primera Instancia e Instrucción núm. 1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abril de 2020, la entidad Penrei Inversiones, S.L., representada por la procuradora de los tribunales doña Blanca Berriatua Horta y bajo la dirección del letrado don Anju Nirmala Benavent Rodriguez, interpuso recurso de amparo contra el auto de 3 de mayo de 2019 dictado por el Juzgado de Primera Instancia e Instrucción núm. 1 de Lorca, en el procedimiento de ejecución hipotecaria núm. 348-2018 y contra el auto de 10 de febrero de 2020, dictado por la Sección Primera de la Audiencia Provincial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1 de Lorca se sigue procedimiento de ejecución hipotecaria núm. 348-2018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núm. 43.459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27 de junio de 2018 se acordó despachar ejecución frente las sociedades demandadas por la cantidad de 2 451,71 € de principal más intereses y costas presupuestados. El servicio de notificaciones de la Fábrica Nacional de Moneda y Timbre remitió a la demandante de amparo, a través de la dirección electrónica habilitada, un aviso de notificación del citado auto que le fue comunicado por dicho medio el 9 de octubre de 2018. En dicha comunicación se informa que la notificación estará disponible hasta el 24 de noviembre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Por auto de 3 de mayo de 2019 se acordó su inadmisión por considerar la pretensión extemporánea. En su fundamento jurídico 2 se razona y rechaza la alegación de la entidad ejecutante sobre el carácter extemporáneo de la presentación de la oposición deducida y ya en los fundamentos jurídicos 3 y 4 se analizan los motivos de fondo planteados respectivamente por cada una de las sociedades demandadas. En lo que se refiere a la demandada Penrei Inversiones, S.L., se concretaba a la falta de legitimación para ser llamada al proceso de ejecución. Centrado en este motivo, determina en el fundamento jurídico 4 que “tampoco es posible su estimación por cuanto y como acertadamente manifiesta el ejecutante, si bien es cierto que no es propietario de la finca registral objeto de traba real no obstante tendría su encaje legal perfectamente delimitado en el art. 685 de la Ley de enjuiciamiento civil (LEC), por cuanto se trata de un tercer poseedor que ha acreditado su dominio con anterioridad a la demanda, y cuya falta de notificación el procedimiento no generaría sino una indeseada indefensión que culminaría con una nulidad de actuaciones, así lo recoge entre otras la STS 79/2013 de 8 de abril, y la doctrina de la DGRN [Dirección General de los Registros y del Notariado]”.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apelación contra el auto de inadmisión alegando, en síntesis, que las actuaciones de notificación y requerimiento habían sido realizadas en la fecha en que accedió a la web y procedió a su descarga, y que la comunicación remitida a través de la dirección electrónica habilitada no puede entenderse más que un aviso de puesta a disposición o descarga de su contenido durante un plazo determinado, pues entenderlo de otro modo vulnera el art. 24 CE. Adicionalmente se alegó la falta de legitimación pasiva. Tras su tramitación el recurso de apelación fue desestimado por auto de 10 de febrero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la vertiente del derecho a disfrute de un proceso con todas las garantías. Se entiende que la mercantil Penrei Inversiones, S.L., no debió intervenir en el proceso judicial como demandado, siendo requerida de pago cuando no ostenta la condición de deudor, y habiendo formulado una interpretación de la condición de legitimación pasiva de la recurrente desproporcionada por excesivamente formalista e incompatible con el derecho al a tutela judicial efectiva. En la demanda se solicita por medio de otrosí la suspensión del procedimiento de ejecución hipotecaria alegando que si como consecuencia de su continuación se decretara “la celebración de subasta y la eventual adjudicación a terceros, puede hacer esto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auto de 22 de octubre de 2020, la Sección Segunda de este tribunal acordó estimar el recurso de súplica planteado por el Ministerio Fiscal, y admitir a trámite el recurso de amparo, acordando asimismo la formación de la pieza separada para la tramitación del incidente de suspensión, concediendo el plazo común de tres días a la parte recurrente y al Ministerio Fiscal para que aleguen lo que estimen oportuno (art. 56 LOTC). Por diligencia de ordenación fechada el 23 de octubre de 2020, se dirige comunicación al Juzgado de Primera Instancia e Instrucción núm. 1 de Lorca, a fin de que emplazase a quienes hubieran sido parte en el procedimiento de ejecución hipotecaria núm. 348-2018, excepto la parte recurrente en amparo, para que en el plazo de diez días pudieran comparecer en el recurso de amparo, si lo desean. En esta providencia no se reclaman las actuaciones por estar ya incorporadas al expediente.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escrito presentado el 4 de noviembre 2020, la parte demandante formuló sus alegaciones, reiterando lo dicho en el otrosí de su demanda, solicitando la suspensión de la ejecución del hipotecaria y trascribiendo parte de los AATC 21/2018, de 5 de marzo; 58/2018 de 4 de junio, y 117/2018, de 29 de octubre, que reconocen la posibilidad de suspender la ejecución hipotecaria una vez admitido a trámite el recurso de amparo. Sostiene la mercantil recurrente que de no adoptarse la medida de suspensión y de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11 de noviembre de 2020, interesa que se acuerde la anotación preventiva de la demanda en el registro de la propiedad, aunque esta última medida no haya sido solicitada en el recurso de amparo, descartando la medida de suspensión del procedimiento ejecutivo. Tras exponer la doctrina de este tribunal sobre suspensión de resoluciones y actos impugnados, considera que la aplicación al caso de dicha doctrina nos debe llevar a considerar que nos encontramos en uno de esos supuestos en que, tratándose de una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348-2018, seguido en el Juzgado de Primera Instancia e Instrucción núm. 1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su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 varios autos que resuelven incidentes de ejecución de esta misma serie de recursos de amparo. Valgan como ejemplo, en relación con el mismo recurrente en amparo, los recientes AATC 123/2020, de 19 de octubre, 110/2020, de 21 de septiembre, 103/2020, de 21 de septiembre; 51/2020, de 15 de junio, y 81/2020 y 78/2020 de 20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348-2018, seguido en el Juzgado de Primera Instancia e Instrucción núm. 1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