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5857-2019, promovido por Ferma Móvil, S.L., contra el auto del Juzgado de Primera Instancia e Instrucción núm. 3 de Ciudad Real, de 2 de septiembre de 2019, que desestimó el incidente de nulidad de actuaciones planteado contra la sentencia 142/2018, de 15 de junio, dictada en el procedimiento ordinario núm. 549-2017, promovido por la entidad Pelayo Mutua de Seguros, personada en estas actuaciones.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octubre de 2019, la procuradora de los tribunales doña Asunción Holgado Pérez, actuando en nombre y representación de Ferma Móvil, S.L., bajo la defensa del letrado don Francisco Javier Lara López,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16 de octubre de 2017, la entidad Pelayo Mutua de Seguros interpuso demanda de reclamación de cantidad contra la ahora recurrente de amparo, en concepto de responsabilidad civil por daños y perjuicios derivados de un siniestro ocurrido en el año 2016. Incoado procedimiento ordinario (núm. 549-2017), por decreto del letrado de la Administración de Justicia del Juzgado de Primera Instancia e Instrucción núm. 3 de Ciudad Real, de 9 de enero de 2018, se acordó la admisión a trámite de la demanda, así como la notificación y emplazamiento de la demandada, con traslado de la demanda y documentación anexa, en el domicilio propuesto por la parte actora, que estaba ubicado en la carretera de Carrión, km. 243, de Ciudad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lo anterior, la notificación y emplazamiento se produjeron a través del servicio de notificaciones electrónicas de la Fábrica Nacional de Moneda y Timbre. Más en concreto, a través de la dirección electrónica habilitada. Según las certificaciones obrantes en las actuaciones, consta que la notificación de la cédula de emplazamiento tenía como número de referencia: 5a56774e7fd00; que la administración actuante era: Juzgados y Tribunales (SGAJ); como titular figuraba: “null-B13252846”; y como asunto: “JDO. 1 INST. E INSTR. N 3 DE CIUDAD REAL”. Asimismo, la certificación indica que la notificación fue puesta a disposición el 10 de enero de 2018, y que fue objeto de rechazo automático el 25 de febrero de 2018. Por su parte, la notificación de la diligencia de ordenación por la que se une el emplazamiento tenía como número de referencia: 5a5d13e12c05c, siendo el resto de los datos coincidente con la anterior, salvo que la fecha de puesta a disposición fue el 15 de enero de 2018 y que la fecha de rechazo automático se produjo el 02 de marzo de 2018. Las propias certificaciones aclaran que “el rechazo automático se produce, de forma general, tras haber transcurrido diez días naturales desde su puesta a disposición para su acceso según el párrafo 2, artículo 43, de la Ley 39/2015, de 1 de octubre, del procedimiento administrativo común de las administraciones públicas. Y de forma particular, superado el plazo establecido por la administración actuante de acuerdo a la normativa jurídica específica que sea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10 de abril de 2018, se declaró a la recurrente en situación de rebeldía procesal, acordándose notificar esta resolución “por correo certificado con acuse de recibo conforme a lo ordenado en el art. 497.1 LEC”. No obstante, una vez más, la notificación se realizó en fecha 11 de abril de 2018 a través de la dirección electrónica habilitada, sin que conste que fuera retirada por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diligencia de ordenación de 10 de abril de 2018 también se acordó el señalamiento de la audiencia previa para el día 12 de junio de 2018. Celebrada la vista en la fecha señalada, con la sola asistencia de la parte demandante, el 15 de junio de 2018 se dictó sentencia estimatoria de la demanda, que también fue notificada a través de la dirección electrónica habilitada. En concreto, según la certificación obrante en las actuaciones, la notificación tenía como número de referencia: 88572665b2c0bd203e26, y como asunto figuraba: “JDO. 1 INST. E INSTR. N 3 DE CIUDAD REAL ORD/0000549/2017”. El contenido del mensaje señalaba que: “Ha recibido un acto de comunicación judicial. Podrá consultarlo en los siguientes enlaces: https://sede.administracion.gob.es/carpeta, https://notificaciones.060.es y https://sedejudicial.justicia.es. Independientemente del tiempo que tenga a su disposición el acto de comunicación, transcurridos tres días hábiles desde su puesta a disposición sin que el destinatario acceda a su contenido, se entenderá que la comunicación ha sido efectuada legalmente desplegando todos sus efectos, conforme con lo establecido en el art. 162.2 de la LEC. Este aviso conforme a lo dispuesto en el art. 25 del RD 1065/2015 no tiene efecto procesal alguno”. La fecha de puesta a disposición de esta notificación fue el 21 de junio de 2018, con el resultado de rechazo automático fechado el 07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declarada firme por diligencia de ordenación de 21 de septiembre de 2018, en la que se afirmaba que la sentencia había sido notificada a las partes el 21 de junio de 2018. La declaración de firmeza también fue notificada electrónicamente en fecha 24 de septiembre de 2018, sin que conste la retirada de esta comunicación por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firme la sentencia, en la que se condenaba en costas a la ahora recurrente, en fecha 22 de mayo de 2019 se dictó una diligencia de ordenación en la que, tras haberse practicado la correspondiente tasación de costas, se concedía un plazo a las partes para alegaciones. Esta diligencia sí fue notificada por correo, con acuse de recibo, en el domicilio de la entidad Ferma Móvil, S.L., sito en la carretera de Carrión, km. 243, de Ciudad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6 de junio de 2019, la entidad Ferma Móvil, S.L., presentó un escrito ante el citado juzgado, en el que señalaba que había tenido conocimiento de la existencia del procedimiento al recibir la notificación de la tasación de costas, interesando que se le tuviera por personada y que se le diera traslado de lo actuado. En el mismo escrito se anunciaba la posibilidad de plantear un incidente de nulidad de actuaciones, para el caso de que las notificaciones y el emplazamiento se hubieran realizado a través de la dirección electrónica habilitada. En ese escrito ya se aportaba como anexo la publicación en el “Boletín Oficial del Estado” de la STC 47/2019, de 8 de abril, cuya doctrina se invocaba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el análisis de lo actuado, la ahora recurrente interpuso un incidente de nulidad de actuaciones en fecha 12 de junio de 2019, solicitando la nulidad de la sentencia y la retroacción del procedimiento hasta el momento de la admisión a trámite de la demanda, a fin de proceder a su contestación. En el escrito se alegaba la vulneración del derecho a la tutela judicial efectiva, sin indefensión, y del derecho de defensa. Se indicaba la infracción de lo dispuesto en el art. 155.1 de la Ley de enjuiciamiento civil (LEC), es decir, por no haberse notificado la demanda y el primer emplazamiento en el domicilio de la demandada, y con entrega de la documentación correspondiente. También se alegaba la infracción de lo dispuesto en el art. 497.1 LEC con ocasión de la notificación de la situación procesal de rebeldía, y de lo establecido en el art. 161 LEC en relación con la notificación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 de septiembre de 2019 el juzgado desestimó el incidente de nulidad de actuaciones planteado por la entidad recurrente. En su fundamento jurídico segundo se razona que “no consta infracción procesal alguna que haya generado una efectiva indefensión. Al contrario, tal y como acertadamente, se indica de contrario, todas las resoluciones se han notificado a través de la sede electrónica y consta la ‘aceptación’, como expresamente se reconoce en el escrito de la demandada, de la sentencia de 21 de junio de 2018. Por lo que tendría que haber utilizado los recursos ordinarios legalmente previstos, por lo que no se estima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fue notificado en fecha 5 de septiembre de 2019, con expresa indicación de que no cabía recurso alguno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14 de octubre de 2019 tuvo entrada en el registro de este tribunal la presente demanda de amparo, que tiene por objeto el auto de 2 de septiembre de 2019 por el que se desestima el incidente de nulidad de actuaciones planteado contra la sentencia de 15 de junio de 2018, dictada por el Juzgado de Primera Instancia e Instrucción núm. 3 de Ciudad Real en el procedimiento ordinario núm. 549-2017.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causan la vulneración “del derecho a la tutela judicial efectiva de los jueces y tribunales en el ejercicio de sus derechos e intereses legítimos previsto en el artículo 24.1 CE, en su vertiente de respeto al derecho de defensa, el cual se basa a su vez en los principios de audiencia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las actuaciones seguidas por el órgano judicial, la entidad recurrente señala que, pese a lo acordado en el decreto de admisión, el emplazamiento fue realizado telemáticamente y rechazado de forma automática por el sistema el 25 de febrero de 2018, lo que pone de manifiesto su inefectividad.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órgano judicial no solo infringió en ese momento las prevenciones que para el primer emplazamiento dispone el art. 155 LEC con las partes no personadas, sino que ocurrió lo mismo al ser declarada en rebeldía por diligencia de ordenación de 10 de abril de 2018. Y otro tanto sucedió en el momento de dictar la sentencia, que fue notificada también de forma telemática, con infracción de lo dispuesto en el art. 497 LEC, y que consta igualmente rechazada el 7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apartado de la demanda que denomina “Del conocimiento […] de la existencia del procedimiento”, se alega haber tenido noticia del proceso a través de la notificación de la tasación de costas. Esa notificación fue realizada en su domicilio con fecha 29 de mayo de 2019, por medio de correo ordinario con acuse de recibo, lo que podría haberse hecho en los trámites anteriormente indicados. Añade que con el escrito de personación de 6 de junio de 2019 ya presentó una copia de la STC 47/2019, de 8 de abril, y reiteró la indefensión padecida al promover el incidente de nulidad pese a lo cual el órgano judicial no explicitó en la resolución mención alguna a la doctrina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fundamentos jurídico-materiales aborda las vulneraciones mencionadas al describir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cita expresa de la doctrina de este tribunal sobre la relevancia de los actos de comunicación procesal desde la perspectiva del derecho a la tutela judicial efectiva (entre otras, SSTC 126/1991, 17/1992, 334/1993 y 181/1994), solicita que, con estimación del amparo, se declare la vulneración del derecho a la tutela judicial efectiva sin indefensión (art. 24.1 CE) y, en consecuencia, la nulidad del auto de 2 de septiembre de 2019 y de la sentencia de 15 de junio de 2018, así como la retroacción de las actuaciones al momento en que se dictó el decreto de admisión a trámite de la demanda, para su debido emplazamiento a fin de que pueda comparecer y contestarla en debida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29 de junio de 2020 por la que acordó: (i)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 y (ii) dirigir atenta comunicación al Juzgado de Primera Instancia e Instrucción número 3 de Ciudad Real, a fin de que remita “certificación o fotocopia adverada de las actuaciones correspondientes al procedimiento ordinario núm. 549-2017”, debiendo “emplazarse […] a quienes hubieran sido parte en el procedimiento” de origen, excepto a la “recurrente en amparo”, para poder comparecer en el presente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29 de julio de 2020, la procuradora de los tribunales doña Eva María Santos Álvarez, actuando en nombre y representación de la entidad Pelayo Mutua de Seguros, bajo la dirección letrada de don Filiberto Carrillo de Albornoz y Marcos, solicitó que se le tuviera por personada en este recurso, entendiéndose con esa representación las sucesivas diligencias y notificaciones que se produjeran.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 de septiembre de 2020, la Secretaría de Justicia de la Sala Segunda de este tribunal dictó diligencia de ordenación por la que se acordó, de un lado, tener por personado y parte a la entidad Pelayo Mutua de Seguros a través de la procuradora mencionada, y de otro, dar vista de las actuaciones a las partes personadas y al Ministerio Fiscal, por plazo común de veinte días, a fin de que pudieran presentar las alegaciones que estimasen pertinentes, conforme con lo previsto en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ante el Tribunal Constitucional presentó escrito de alegaciones el 29 de septiembre de 2020, por el que interesó de este tribunal que dictara sentencia otorgando el amparo a la recurrente, con reconocimiento de la vulneración de su derecho a la tutela judicial efectiva sin indefensión (art. 24.1 CE), y su restablecimiento mediante la declaración de nulidad de “todo lo actuado desde la notificación efectuada electrónicamente del decreto de 9 de enero de 2018 por el que se admitió a trámite la demanda y se acordó el emplazamiento del demandado en el procedimiento ordinario 549-2017 del Juzgado de Instrucción y Primera Instancia núm. 3 de Ciudad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la fiscal comienza con una reseña de los antecedentes que consideró de interés, para continuar señalando que nos encontramos ante el mismo supuesto que ya fue resuelto en sentido estimatorio mediante las SSTC 40/2020, de 27 de febrero, y 43/2020, de 9 de marzo, cuyo contenido extracta parcialmente. En estas resoluciones se concedió el amparo solicitado por aplicación de la doctrina expuesta, a su vez, en las SSTC 6/2019, de 17 de enero, y 47/2019, de 8 de abril, de las que se deriva la obligatoriedad de que el primer emplazamiento se realice de manera personal y con entrega en papel de la documentación, conforme a lo dispuesto en el art. 155.2 LEC. Para la fiscal, la actuación del órgano judicial en el presente supuesto ha provocado indefensión a la recurrente en amparo. El juzgado optó por un emplazamiento electrónico que no está previsto en la normativa procesal para ese trámite, “descuidando así el especial deber que incumbe a los jueces de garantizar la efectividad de los actos de comunicación procesal y de velar por la correcta constitución de la relación jurídico procesal, a cuyo fin resultan especialmente relevantes […] el emplazamiento, citación o notificación a quien ha de ser o puede ser parte en el procedimiento”. Al no hacerse así, y continuar realizando “las notificaciones subsiguientes […] de la misma manera y, pese a su resultado negativo y a conocerse […] el domicilio del demandado, se continuó la tramitación procesal a sus espaldas”. Una vez conocida la existencia del procedimiento, la posterior interposición del incidente de nulidad de actuaciones fue desestimada por el órgano judicial, a pesar de la expresa invocación de la doctrina de este tribunal, “perpetuando así en el tiempo la vulneración de la tutela judicial efectiva sin indefensión del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20 de octubre de 2020. En el mismo interesó que se dictara resolución estimatoria del recurso de amparo reiterando los argumentos expuestos en la demanda. Tras hacer un examen detallado de las actuaciones remitidas por el órgano judicial, considera que se confirman los hechos alegados en la demanda. Además, se hace una reseña expresa de la STC 150/2019, de 25 de noviembre, en la que, a su vez, se aplica la doctrina ya expuesta en la STC 47/2019, seguida por las SSTC 102/2019, de 16 de septiembre, (en proceso laboral), 122/2019, de 28 de octubre, (en proceso civil monitorio), y 129/2019, de 11 de noviembre, (en un incidente concursal). En estas resoluciones se confirma la doctrina que defiende en este recurso, en torno a la necesidad de que el primer emplazamiento o citación se efectúe en el domicilio de la persona jurídica que figure como demandada, según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5 de noviembre de 2020 tuvo entrada el escrito de alegaciones de la representación de la entidad Pelayo Mutua de Seguros. En el mismo se defiende la vigencia de la Ley 18/2011 y de la Ley 39/2015, así como de la Ley 42/2015 y de la Ley de enjuiciamiento civil, en las que se establecen los sujetos obligados a la utilización del sistema electrónico en sus relaciones con las administraciones públicas, disposiciones que se desarrollan en el Real Decreto 1065/2015, de 27 de noviembre, para el ámbito de la Administración de Justicia. La parte considera que la recurrente en amparo estaba obligada a la utilización del sistema de notificaciones telemáticas, por lo que si no atendió a las comunicaciones judiciales fue por un incumplimiento consciente y voluntario de sus obligaciones, por lo que no puede alegar indefensión. Considera que la STC 47/2019 no es aplicable a este caso, porque fue dictada en un procedimiento seguido ante la jurisdicción social en la que, dada la celeridad de tramitación, sí se puede dar una clara indefensión, lo que no concurre en el presente supuesto. En consecuencia, se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Secretaría de Justicia se ha dictado diligencia el 6 de noviembre de 2020, dejando constancia de la presentación de los escritos de alegaciones del Ministerio Fiscal y de la representación procesal de las partes personadas, quedando el asunto concluso y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plantea un supuesto de hecho idéntico a los ya resueltos en anteriores precedentes de este tribunal en los que se impugnaba la actuación judicial consistente en la inadmisión de incidentes de nulidad de actuaciones, por considerar realizados conforme a Derecho las notificaciones de la admisión de una demanda y el consiguiente emplazamiento para personación a través del servicio de notificaciones electrónicas y de dirección electrónica habilitada de la Fábrica Nacional de Moneda y Timbre.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en esencia, la vulneración del derecho fundamental a la tutela judicial efectiva (art. 24.1 CE), en su vertiente de derecho a no padecer indefensión, al no haberse efectuado aquel emplazamiento de manera personal y con entrega en papel de la documentación correspondiente, tal y como establecen las normas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por el primer motivo. La parte contraria en el procedimiento judicial de origen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del Tribunal Constitucional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la STC 40/2020, de 27 de febrero, en la que ha tenido la oportunidad de resolver un recurso de amparo donde se dio respuesta a los mismos argumentos que defienden aquí las partes, con fallo estimatorio de la demanda. Descartada en este caso la concurrencia de algún elemento distintivo que obligue a una fundamentación o resultado diferente a lo declarado entonces, procede por tanto que hagamos aplicación de la doctrina expuesta en el citado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de esa resolución se advierte que es de aplicación la doctrina de este tribunal plasmada en sus SSTC 6/2019, de 17 de enero, FJ 4 a), dictada en sede de cuestión de inconstitucionalidad, y 47/2019, de 8 de abril, FJ 4 a), recaída en proceso de amparo. En ambos supuestos se afirma la “garantía del emplazamiento personal del demandado o ejecutado en los procesos regidos en esta materia por la LEC (directa o supletoriamente), como primera comunicación con el órgano judicial competente, sin que pueda ser sustituida por una comunicación electrónica”, tal y como ocurre con la efectuada a través de la dirección electrónica habilitada. El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[del] derecho fundamental” a la tutela judicial efectiva, como ya ha declarado este tribunal en varios recursos de amparo referidos a procesos laborales, civiles y concursales, que se especifican en el mismo fundamento jurídico 3, precisamente en aplicación de la doctrina de referencia (ver, en tal sentido, las SSTC 102/2019, de 16 de septiembre, FJ 2; 122/2019, de 28 de octubre, FJ 3; 129/2019, de 11 de noviembre, FJ 4; 150/2019, de 25 de noviembre, FJ 3, y 7/2020,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constata entonces la STC 40/2020, en su fundamento jurídico 4, como ha de hacerse también en el presente supuesto, que las resoluciones judiciales impugnadas vulneraron el derecho a la tutela judicial efectiva de la recurrente. El juzgado optó por un emplazamiento a través del servicio de notificaciones electrónicas y dirección electrónica habilitada de la Fábrica Nacional de Moneda y Timbre, que no está previsto en la normativa procesal para estos casos. Ese sistema de notificación determinó que el procedimiento se siguiera a espaldas de la entidad ahora recurrente, que no pudo ejercer las acciones que tuviera por conveniente. Una vez tuvo conocimiento del proceso, y planteado el correspondiente incidente de nulidad de actuaciones, este fue indebidamente desestimado, lo que lleva consigo la estimación del amparo por vulneración de su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pronunciamiento contenido en la citada STC 40/2020, ha sido ulteriormente reiterado en las SSTC 43/2020, de 9 de marzo; 55/2020, de 15 de junio; 76/2020, de 29 de junio, o 176/2020, de 30 de noviembre, por citar algunas de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la resolución impugnada y de todo lo actuado en el procedimiento de origen, desde el momento en que se proveyó al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Ferma Móvil,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 de septiembre de 2019, dictado por el Juzgado de Primera Instancia e Instrucción núm. 3 de Ciudad Real en el proceso ordinario núm. 549-2017, así como la nulidad de las actuaciones realizadas a partir del decreto de 9 de enero de 2018, por el que se acordó la admisión a trámite de la demanda y la notificación y emplazamiento a la parte demandada, ahora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posterior al dictado del decreto de 9 de enero de 2018, debiendo llevarse a cabo de nuevo por el juzgado el trámite de notificación y emplazamiento a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