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7579-2019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7579-2019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362-2018,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30 de diciembre de 2019, la entidad Euroinversiones Inmobiliarias Costa Sur, S.L., representada por la procuradora de los tribunales doña Blanca Berriatua Horta y bajo la dirección del letrado don Marcelino Gilabert García, interpuso recurso de amparo contra los autos de 20 de noviembre de 2018 y de 11 de septiembre de 2019, dictados por el Juzgado de Primera Instancia e Instrucción núm. 4 de Lorca, en el procedimiento de ejecución hipotecaria núm. 362-2018, por los que, respectivamente, se inadmitió por extemporánea la oposición a la ejecución hipotecaria y se confirmó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362-2018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núm. 43.433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26 de junio de 2018, se acordó despachar ejecución frente las sociedades demandadas por la cantidad de 8199,12 € de principal y 2459,73 € como intereses y costas presupuestados. El servicio de notificaciones de la Fábrica Nacional de Moneda y Timbre remitió a la demandante de amparo, a través de la dirección electrónica habilitada, requerimiento y notificación del auto el día 3 de julio de 2018. En dicha comunicación se informa de que la notificación estaría disponible hasta el 18 de agosto del mismo año, accediendo la recurrente de amparo efectivamente a la página web y a la notificación dentro del plazo en que la misma se encontraba disponible, concretamente el 3 de agosto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31 de agosto de 2018. Por auto de 20 de noviembre de 2018 se acordó su inadmisión por considerar la pretensión extemporánea.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habían de considerarse realizadas en la fecha en que accedió a la web y procedió a su descarga, y que la comunicación remitida a través de la dirección electrónica habilitada no puede entenderse más que un aviso de puesta a disposición o descarga de su contenido durante un plazo determinado, pues entenderlo de otro modo vulnera, además de diversos preceptos de la Ley de enjuiciamiento civil (arts. 135, 152, 169 y 162), y el art. 24 CE. Tras su tramitación el recurso de reposición fue desestimado por auto de 11 de septiembre de 2019, notificándose el auto por Lexnet el 13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al no haberse notificado personalmente una demanda de ejecución hipotecaria, otorgándose efectos de notificación a la remisión de un correo electrónico que carece de los requisitos procesales esenciales para ser considerado como 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la mercantil recurrente en amparo que la interpretación ofrecida en el auto objeto de impugnación, eludiendo las garantías exigibles para las notificaciones de un proceso judicial y entendiendo que la recurrente tenía la obligación de comunicarse electrónicamente con la administración —incluso con la administración de justicia—,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Concluye la entidad recurrente afirmando que las resoluciones impugnadas no han dado cumplimiento a las exigencias constitucionales reconocidas para los actos de notificación procesal. Por último, se menciona en la demanda de amparo “la recentísima sentencia del Tribunal Constitucional STC 47/2019, de 8 de abril, que no solo confirma todo lo dicho hasta ahora sino que lo refuerza” y cuyos fundamentos jurídicos 2 y 3 reproduce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si como consecuencia de su continuación se decretara “la celebración de subasta y la eventual adjudicación a terceros, puede hacer esto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junio de 2020, se inadmitió a trámite el presente recurso de amparo. Tal decisión fue modificada por auto de 19 de noviembre de 2020, en que la Sección Segunda de este tribunal resolvió estimar el recurso de súplica planteado por el Ministerio Fiscal, y admitir a trámite el recurso de amparo, acordando asimismo la formación de la pieza separada para la tramitación del incidente de suspensión, concediendo el plazo común de tres días a la parte recurrente y al Ministerio Fiscal para que aleguen lo que estimen oportuno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ordenación fechada el 25 de noviembre de 2020, se dirige comunicación al Juzgado de Primera Instancia e Instrucción núm. 4 de Lorca, a fin de que emplazase a quienes hubieran sido parte en el procedimiento de ejecución hipotecaria núm. 362-2018, excepto la parte recurrente en amparo, para que en el plazo de diez días pudieran comparecer en el recurso de amparo, si lo desean. En esta providencia no se reclaman las actuaciones por estar ya incorporadas al expediente.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fecha se acuerda formar pieza separada de suspensión según el art. 56.1 LOTC, concediendo un plazo común de tres días al Ministerio Fiscal y a la demandante de amparo, para que formularan alegaciones en relación con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escrito presentado el 9 de diciembre de 2020, la parte recurrente formuló sus alegaciones, reiterando lo dicho en el otrosí de su demanda, solicitando la suspensión de la ejecución del hipotecaria y trascribiendo parte de los AATC 21/2018, de 5 de marzo; 58/2018, de 4 de junio, y 117/2018, de 29 de octubre, que reconocen la posibilidad de suspender la ejecución hipotecaria una vez admitido a trámite el recurso de amparo. Sostiene la mercantil recurrente que de no adoptarse la medida de suspensión y de “seguir adelante la ejecución podría producirse la transmisión irrecuperable del dominio del bien inmueble,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14 de diciembre de 2020, interesa que se acuerde la anotación preventiva de la demanda en el registro de la propiedad, aunque esta última medida no haya sido solicitada en el recurso de amparo, descartando la medida de suspensión del procedimiento ejecutivo. Tras exponer la doctrina de este tribunal sobre suspensión de resoluciones y actos impugnados (art. 56 LOTC), considera que la aplicación al caso de dicha doctrina nos debe llevar a considerar que nos encontramos en uno de esos supuestos en que, tratándose de una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362-2018,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de 10 de febrero,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Ministerio Fiscal, que resulta improcedente la suspensión solicitada y, por el contrario, es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su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en varios autos que resuelven incidentes de ejecución de esta misma serie de recursos de amparo. Valgan como ejemplo, en relación con el mismo recurrente en amparo, los recientes AATC 163/2020 y 166/2020, de 14 de diciembre; 153/2020, 154/2020 y 155/2020, de 30 de noviembre; 137/2020, 141/2020 y 142/2020, de 16 de noviembre; 123/2020, de 19 de octubre; 103/2020 y 110/2020, de 21 de septiembre; 78 y 81/2020 de 20 de julio, y 51/2020, de 15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362-2018,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