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3546-2019, 3560-2019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amparo registrado con el número 3560-2019, al recurso de amparo registrado con el número 3546-2019. Dichos recursos seguirán así una misma tramitación hasta su resolución, también única, por esta Sala, desde el común estado procesal en que se hallan, pendientes de 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2019,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5 de Lorca en el procedimiento de ejecución hipotecaria núm. 372-2018 en fechas 21 de septiembre de 2018 y 23 de abril de 2019 por los que, respectivamente, se inadmite por extemporánea la oposición a la ejecución hipotecaria y se confirma esta última decisión al desestimarse el recurso de reposición interpuesto frente a ella. La presentación de dicho escrito dio lugar al recurso de amparo núm. 3546-2019, que fue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7 de junio de 2019,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5 de Lorca en el procedimiento de ejecución hipotecaria núm. 372-2018 en fechas 21 de septiembre de 2018 y 23 de abril de 2019 por los que, respectivamente, se inadmite por extemporánea la oposición a la ejecución hipotecaria y se confirma esta última decisión al desestimarse el recurso de reposición interpuesto frente a ella. La presentación de dicho escrito dio lugar al recurso de amparo núm. 3560-2019 que fue también admitido a trámite y cuyo conocimiento correspondió a la Sala Primera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que los referidos recursos de amparo quedaron conclusos para sentencia, por diligencia de ordenación de 5 de febrero de 2021 se concedió audiencia al Ministerio Fiscal y a las partes por plazo común de diez días por si procediera su acumulación, de conformidad con el art. 83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escritos registrados el 12 de febrero de 2021, manifestó su conformidad a la acumulación. Las partes demandantes de amparo declararon su voluntad de dejar la decisión a criterio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83 de la Ley Orgánica del Tribunal Constitucional (LOTC) permite a este tribunal, de oficio o a instancia de parte y previa audiencia de los comparecidos,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y, por otro, que tal conexión sea relevante en relación con su tramitación y decisión unitarias o, lo que es lo mismo, que la referida conexión justifique la unidad de tramitación y decisión (AATC 417/2003, de 15 de diciembre, FJ 2; 5/2013, de 14 de enero, FJ único; 285/2013, de 16 de diciembre, FJ único, y 82/2016, de 25 de abril, FJ único,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impugnan las resoluciones judiciales procedentes de un mismo procedimiento de ejecución hipotecaria dirigido contra las entidades mercantiles ahora demandantes de amparo. Además, los recursos de amparo se encuentran en la misma fase procesal tras su admisión a trámite, y la queja, relativa a la vulneración de su derecho a la tutela judicial efectiva sin indefensión (art. 24.1 CE) en su vertiente de acceso al proceso, es común en su fundamento, tanto en los aspectos fácticos como en los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justifica, dada la conexión entre los recursos de amparo registrados con los números 3546-2019 y 3560-2019, la acumulación del recurso de amparo con número de registro más moderno al más antiguo para su resolución conjunta (art. 84.1 de la Ley de Enjuiciamiento Civil, en relación con el art. 80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amparo registrado con el número 3560-2019, al recurso de amparo registrado con el número 3546-2019. Dichos recursos seguirán así una misma tramitación hasta su resolución, también única, por esta Sala, desde el común estado procesal en que se hallan, pendientes de 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