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26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2021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15 de marzo de 2021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Juan José González Rivas, don Andrés Ollero Tassara, don Santiago Martínez-Vares García, don Alfredo Montoya Melgar, don Cándido Conde-Pumpido Tourón y doña María Luisa Balaguer Callejón.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7506-2019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7506-2019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Rectificar el error material constatado en la sentencia de 15 de febrero de 2021, debiendo sustituirse en el encabezamiento y fallo de la misma “Penrei Inversiones, S.L.” por Euroinversiones Inmobiliarias Costa Sur, S.L., así como en el encabezamiento “doña Anju Nirmala Benavent Rodríguez” por don Marcelino Gilabert García.</w:t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1. En fecha 15 de febrero de 2021 la Sala Primera del Tribunal Constitucional dictó sentencia resolviendo el recurso de amparo núm. 7506-2019, promovido por la entidad Euroinversiones Inmobiliarias Costa Sur, S.L., representada por la procuradora de los tribunales doña Blanca Berriatua Horta y bajo la asistencia del letrado don Marcelino Gilabert García.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/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2. En el encabezamiento de dicha sentencia constaba que el recurso había sido promovido por Penrei Inversiones, S.L., bajo la dirección de la letrada doña Anju Nirmala Benavent Rodríguez. Y en el fallo de la sentencia se estimaba el recurso de amparo interpuesto por la mercantil Penrei Inversiones, S.L.</w:t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1. Único. De conformidad con lo dispuesto en el art. 267.3 de la Ley Orgánica 6/1985, de 1 de julio, del Poder Judicial, los errores materiales manifiestos en que incurran las resoluciones judiciales podrán ser rectificados en cualquier momento.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/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Se ha advertido la existencia de un error material en el encabezamiento y en el fallo al mencionarse a la mercantil “Penrei Inversiones, S.L.”, en lugar de Euroinversiones Inmobiliarias Costa Sur, S.L., e indicarse en el encabezamiento que dicha mercantil actuaba asistida por la letrada “doña Anju Nirmala Benavent Rodríguez”, cuando dicha abogada actuaba en sustitución del letrado don Marcelino Gilabert García.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/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Constando y siendo notorio el error material apreciado, procede la rectificación del encabezamiento y fallo de la sentencia debiendo sustituirse en el encabezamiento y en el fallo “Penrei Inversiones, S.L.” por Euroinversiones Inmobiliarias Costa Sur, S.L., y en el encabezamiento la mención a la letrada “doña Anju Nirmala Benavent Rodríguez” por la del letrado don Marcelino Gilabert García.</w:t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>Por lo expuesto, la Sala</w:t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>Rectificar el error material constatado en la sentencia de 15 de febrero de 2021, debiendo sustituirse en el encabezamiento y fallo de la misma “Penrei Inversiones, S.L.” por Euroinversiones Inmobiliarias Costa Sur, S.L., así como en el encabezamiento “doña Anju Nirmala Benavent Rodríguez” por don Marcelino Gilabert García.</w:t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>Madrid, a quince de marzo de dos mil veintiuno.</w:t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