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delegada del Gobierno en Madrid de 16 de abril de 2018, pronunciada en el expediente sancionador núm. 280020180006300, en que se acuerda la expulsión de la recurrente del territorio nacional con la prohibición de entrada en España por un periodo de tres 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febrero de 2020, doña Denize Lanes Da Silva, representada por la procuradora de los tribunales doña María Claudia Munteanu, bajo la dirección del letrado don César Pinto Cañón, interpuso recurso de amparo contra la providencia de la Sección Primera de la Sala de lo Contencioso-Administrativo del Tribunal Supremo de 13 de enero de 2020, por la que se inadmite el incidente de nulidad de actuaciones contra la providencia de 17 de octubre de 2019, por la que se inadmite el recurso de casación núm. 4327-2019, interpuesto contra la sentencia de la Sección Décima de la Sala de lo Contencioso-Administrativo del Tribunal Superior de Justicia de Madrid núm. 381/2019, de 17 de mayo de 2019, por la que se desestima el recurso de apelación núm. 154-2019, interpuesto contra la sentencia núm. 401/2019, de 29 de noviembre de 2018, del Juzgado de lo Contencioso-Administrativo núm. 31 de Madrid pronunciada en el procedimiento abreviado núm. 316-2018, por la que se desestima el recurso interpuesto contra la resolución de la delegada del Gobierno en Madrid de 16 de abril de 2018, pronunciada en el expediente sancionador núm. 280020180006300, en que se acuerda la expulsión de territorio nacional con la prohibición de entrada en España por un periodo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la recurrente solicita la suspensión de las resoluciones impugnadas argumentando, con cita de diversa jurisprudencia constitucional (AATC 82/1999, de 12 de abril; 356/2008, de 10 de noviembre, y 156/2010, de 15 de noviembre) que la ejecución de la expulsión del territorio nacional provocaría perjuicios de carácter personal, económico y familiar de imposible resarcimiento.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25 de enero de 2021,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 los recurrentes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 de marzo de 2021, presentó alegaciones interesando que se acceda a la suspensión solicitada en aplicación de la jurisprudencia constitucional sobre la suspensión de la sanción de expulsión (ATC 66/2012, de 16 de abril), ya que “si bien en el presente caso, la recurrente no ha acreditado la concurrencia de especiales circunstancias familiares o laborales en territorio español que se verían afectadas directamente por el acto administrativo impugnado, debe estimarse que la efectividad de la medida de expulsión con prohibición de entrada, puede igualmente hacer de muy difícil restauración el derecho fundamental vulnerado caso de que el recurso fuera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el 19 de febrero de 2021, presentó alegaciones reiterando los motivos por los que instó la suspensión de las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acordar la suspensión de las resoluciones impugnadas en la medida en que se acuerda la expulsión de la recurrente del territorio nacional y la prohibición de entrada en España por un periodo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y el art. 56.2 LOTC concreta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reiterado, en relación con la suspensión de la sanción de expulsión del territorio nacional y de prohibición de entrada en España, que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(AATC 82/1999, de 12 de abril, FJ 2; 356/2008, de 10 de noviembre, FJ único; 156/2010, de 15 de noviembre, FJ único; 66/2012, de 16 de abril, FJ 2; 116/2013, de 20 de mayo, FJ 2; 90/2015, de 25 de mayo, FJ 2; 47/2016, de 29 de febrero, FJ 2, y 133/2016, de 22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aplicación de lo expuesto, y conforme también solicita el Ministerio Fiscal, resulta procedente acordar la suspensión de la expulsión del territorio nacional de la recurrente y la prohibición de entrada durante tres años en España, atendiendo al conjunto de circunstancias personales que se reflejan en las actuaciones, toda vez que tampoco cabe apreciar que dicha suspensión pueda originar una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delegada del Gobierno en Madrid de 16 de abril de 2018, pronunciada en el expediente sancionador núm. 280020180006300, en que se acuerda la expulsión de la recurrente del territorio nacional con la prohibición de entrada en España por un periodo de tres 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