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abril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5513-2020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5513-2020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la solicitud de aclaración formulada por los recurrentes.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auto de 15 de febrero de 2021 (ATC 16/2021) se acordó desestimar la revisión de la diligencia de ordenación del secretario de justicia de la Sección Tercera de este tribunal, de 20 de noviembre de 2020, por la que se requirió a los recurrentes para que en el plazo de diez días acreditaran fehacientemente la fecha de notificación de la resolución recurrida en el recurso ordinario núm. 271-2019, “[c]on la advertencia que de no atender al precedente requerimiento de este tribunal, en el plazo indicado, la Sección podrá inadmitir el presente recurso, conforme a lo preceptuado en el art. 50.4”; acordándose además la devolución de la documentación relativa al recurso 278-2019, “haciéndole saber que deberá formular recurso de amparo diferenciado por cada procedimiento de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fechado el 24 de febrero de 2021, los recurrentes solicitaron la aclaración de la resolución precedente, en el sentido de determinar “cuál es la acreditación fehaciente a la que se refiere en su auto de 15 de febrero de 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diligencia de ordenación de 25 de febrero de 2021, se acordó que se uniera a las actuaciones el escrito anterior y que se diera cuenta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Tercera de este tribunal, de 26 de febrero de 2021, se acordó dar traslado de ese escrito al Ministerio Fiscal para que formulara las alegaciones que estimara convenientes.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de 15 de marzo de 2021, el Ministerio Fiscal presentó sus alegaciones, interesando la desestimación de la solicitud de aclaración.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tal objeto, el fiscal identificó la cuestión suscitada en el recurso de revisión presentado por los recurrentes frente a la diligencia de ordenación de 20 de noviembre de 2020, consistente en que “el requerimiento efectuado de la acreditación fehaciente de la fecha de notificación de los autos de 15 de septiembre de 2020 no encuentra sustento en el art. 49.4 LOTC”, objeción que resultó desestimada en el auto resolutorio en “términos claros y paladinos, por lo que no requiere de aclaración adicional que se pretende por los recurrentes”. Según sostiene, lo que ahora se plantea difiere de aquello, pues se refiere a la forma en que se ha de cumplimentar la susodicha notificación fehaciente, sin que en la resolución cuya aclaración se requiere, se hubiera adoptado decisión alguna acerca de la suficiencia de los documentos que se aportaron con el escrito solicitando la revisión. Indicando finalmente que, “sin perjuicio del alcance y validez de los documentos aportados”, debe tenerse en cuenta la facultades que se atribuyen al letrado de la administración de justicia en orden a ejercicio de la fe pública judicial, dejando constancia fehaciente de la realización de los actos procesales mediante las oportunas actas y diligencias, de conformidad con lo previsto en el art. 453 de la Ley Orgánica del Poder Judicial (LOPJ).</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Sobre la aclaración de los autos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Objeto de esta resolución debe ser, en primer lugar, determinar la admisibilidad de la solicitud de aclaración del auto 16/2021, de 15 de febrero y, para el caso de ser la respuesta positiva, comprobar si esa resolución ha de ser aclarada.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posibilidad de aclarar una resolución como el auto referido, viene siendo pacíficamente reconocida por el tribunal, entre otras decisiones en el auto ATC 168/2017, de 12 de diciembre, donde se sostiene que “aunque el artículo 93 de la Ley Orgánica del Tribunal Constitucional (LOTC) se refiere únicamente a la aclaración de sentencias, y no de autos y providencias, contra las cuales, dice el apartado segundo del precepto, ‘solo procederá, en su caso, el recurso de súplica’, la posibilidad de aclarar estas resoluciones ha sido admitida por este tribunal acudiendo al régimen general de los artículos 267 de la Ley Orgánica del Poder Judicial y 214 de la Ley de enjuiciamiento civil que invoca el solicitante de la aclaración en su escrito (así, por ejemplo, AATC 110/2002, de 18 de junio, 209/2002, de 28 de octubre, y 106/2010, de 6 de septiembre). Ahora bien, como también hemos reiterado en multitud de ocasiones, el objeto de la solicitud de aclaración es, exclusivamente, la ‘corrección de errores materiales manifiestos o errores aritméticos, a la aclaración de algún concepto oscuro, a suplir cualquier omisión o a la rectificación de alguna contradicción manifiesta que se evidencie del propio texto de la [resolución], sin necesidad de nuevas deducciones o interpretaciones’ (por todos, ATC 133/2017, de 3 de octubre, FJ 1)”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la solicitud de aclaración del auto de 15 de febrero de 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cuestionado resuelve con absoluta claridad las objeciones formuladas por los recurrentes en relación con la diligencia de ordenación de 20 de noviembre de 2020, fundamentadas en que el requerimiento del secretario de justicia de la Sección Tercera del tribunal dirigido a los recurrentes, relativo a la acreditación fehaciente de la fecha de notificación de la resolución recurrida, carecía de sustento en el art. 49.4 LOTC, como a que tampoco encontraría amparo en precepto legal alguno la advertencia a los mismos de que debería formularse recurso de amparo diferenciado por cada procedimiento de instancia. Ambos motivos de revisión fueron desestimados expresa y rotundamente, siendo improcedente la petición formulada ahora por los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cuya aclaración se interesa no contiene pronunciamiento alguno acerca de los requisitos de validez y la suficiencia de los certificados generados por el sistema de notificación electrónica Lexnet a los efectos requeridos; si bien es cierto que no cabe obviar el ejercicio de la fe pública judicial por los letrados de la administración de justicia en orden a la certificación fehaciente de los actos procesales ex art. 453.1 LOPJ, como advierte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demás, la cuestión que suscitan los recurrentes carece de trascendencia en las presentes actuaciones, al haberse aceptado los documentos aportados a efectos de acreditar la fecha de notificación del auto de la Sala de lo Contencioso-Administrativo del Tribunal Supremo, de 15 de septiembre de 2020, dictado en el procedimiento ordinario núm. 271-2020.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se aprecia, pues, ningún concepto oscuro que requiera ser aclarado.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la solicitud de aclaración formulada por los recurrentes.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abril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