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5467-2019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5467-2019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de la delegada del Gobierno en Madrid de 30 de diciembre de 2016, pronunciada en el expediente sancionador núm. 280020160018293, en que se acuerda la expulsión del recurrente de territorio nacional con la prohibición de entrada en España por un periodo de tres años.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septiembre de 2019, don Víctor Hugo Sánchez Mina, representado por la procuradora de los tribunales doña María Isabel García Martínez, bajo la dirección del letrado don Miguel Cobas Pascual, interpuso recurso de amparo contra la providencia de la Sección Primera de la Sala de lo Contencioso-Administrativo del Tribunal Supremo de 18 de julio de 2019, por la que se inadmite el recurso de casación núm. 2615-2019, interpuesto contra la sentencia de la Sección Segunda de la Sala de lo Contencioso-Administrativo del Tribunal Superior de Justicia de Madrid núm. 86/2019, de 6 de febrero de 2019, por la que se desestima el recurso de apelación núm. 668-2018, interpuesto contra la sentencia núm. 95/2018 del Juzgado de lo Contencioso-Administrativo núm. 9 de Madrid, de 9 de abril de 2018, pronunciada en el procedimiento abreviado núm. 213-2017, por la que se desestima el recurso interpuesto contra la resolución de la delegada del Gobierno en Madrid de 30 de diciembre de 2016, pronunciada en el expediente sancionador núm. 280020160018293, en que se acuerda la expulsión de territorio nacional con la prohibición de entrada en España por un periodo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el recurrente solicita la suspensión de las resoluciones impugnadas argumentando, con cita de diversa jurisprudencia constitucional (AATC 82/1999, de 12 de abril; 356/2008, de 10 de noviembre, y 156/2010, de 15 de noviembre) que la ejecución de la expulsión del territorio nacional provocaría perjuicios de carácter personal, económico y familiar de imposible resarcimiento.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10 de marzo de 2021,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15 de abril de 2021, presentó alegaciones interesando que se acceda a la suspensión solicitada en aplicación de la jurisprudencia constitucional sobre la suspensión de la sanción de expulsión que establece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(ATC 47/2016, de 29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acordar la suspensión de las resoluciones impugnadas en la medida en que se acuerda la expulsión del recurrente del territorio nacional y la prohibición de entrada en España por un periodo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(LOTC) dispone que la interposición de un recurso de amparo no suspenderá los efectos del acto o sentencia impugnados y el art. 56.2 LOTC concreta que podrá acordarse la suspensión cuando su ejecución “produzca un perjuicio al recurrente que pudiera hacer perder al amparo su finalidad”. Se establece como condición que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reiterado, en relación con la suspensión de la sanción de expulsión de territorio nacional y de prohibición de entrada en España, que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(AATC 82/1999, de 12 de abril, FJ 2; 356/2008, de 10 de noviembre, FJ único; 156/2010, de 15 de noviembre, FJ único; 66/2012, de 16 de abril, FJ 2; 116/2013, de 20 de mayo, FJ 2; 90/2015, de 25 de mayo, FJ 2; 47/2016, de 29 de febrero, FJ 2, y 133/2016, de 22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 aplicación de lo expuesto y de acuerdo con lo que solicita el Ministerio Fiscal, resulta procedente acordar la suspensión de la expulsión del territorio nacional del recurrente y la prohibición de entrada durante tres años en España atendiendo al conjunto de circunstancias personales que se reflejan en las actuaciones y al hecho de que no cabe apreciar que dicha suspensión pueda originar una perturbación grave de los intereses generales ni de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de la delegada del Gobierno en Madrid de 30 de diciembre de 2016, pronunciada en el expediente sancionador núm. 280020160018293, en que se acuerda la expulsión del recurrente de territorio nacional con la prohibición de entrada en España por un periodo de tres años.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