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5872-2020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5872-2020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cautelar solicitada del procedimiento de ejecución hipotecaria núm. 207-2019 seguido en el Juzgado de Primera Instancia núm. 3 de Lorca, así como la práctica de la anotación preventiva de la demanda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30 de noviembre de 2020 el procurador de los tribunales don Pedro Arcas Barnes, en nombre y representación de la entidad Viviendas Chimenea II de Águilas, Sociedad Cooperativa, asistida por el letrado don Fernando Bastida García, interpuso recurso de amparo contra el auto de 28 de octubre de 2020, dictado por el Juzgado de Primera Instancia núm. 3 de Lorca, en el procedimiento de ejecución hipotecaria núm. 207-2019, que desestimó el incidente de nulidad promovido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24 de julio de 2019 la Sociedad de gestión de activos procedentes de la reestructuración bancaria, S.A. (SAREB), que había adquirido los activos de la entidad Banco Mare Nostrum, S.A., presentó demanda de ejecución hipotecaria contra la entidad Viviendas Chimenea II de Águilas, Sociedad Cooperativa, como deudor hipotecario en relación con el préstamo con garantía hipotecaria constituido sobre setenta y tres fincas registrales y elevado a escritura pública el 27 de mayo de 2008, en reclamación de la cantidad de 24 165 916,75 €, en concepto de principal y 7 249 775,02 € en concepto de intereses y costas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Dicha demanda correspondió al Juzgado de Primera Instancia núm. 3 de Lorca, que la tramitó con el núm. 207-2019. Por auto de 10 de septiembre de 2019, el juzgado despachó ejecución frente al prestatario por el indicado importe.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Intentada la notificación y el emplazamiento a la ejecutada el 18 de septiembre de 2019, se extendió diligencia para “hacer constar que, habiéndome constituido en el domicilio facilitado como de la interesada, en c/ Pio XII, núm. 21, 4º B) resulta ser un despacho de abogados y manifiestan que no tienen relación con la empresa que pudiese ser que la tuviera con la Asesoría Serveco que se ubicaba antes en este domicilio”.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diligencia de ordenación de 3 de octubre de 2019, se facultó al procurador de los tribunales, que representa a la ejecutante, para que practicara el requerimiento de pago en la persona de Ricardo José Montoya Morata, legal representante de Llave Azul 2006, S.L., que a su vez era apoderada de la entidad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22 de octubre siguiente, por el procurador de los tribunales de la SAREB se comunicó la diligencia negativa de requerimiento de pago, y dos días después se interesó por el mismo que el requerimiento se realizara por edictos. Así se acordó por la letrada de la administración de justicia mediante diligencia de ordenación dictada el 5 de noviembre de 2019, procediendo a la inserción del edicto ese mismo día y siendo retirado el 5 de diciembre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recurrente presentó incidente de nulidad actuaciones el 6 de julio de 2020 alegando la vulneración del derecho a la tutela judicial efectiva por haber procedido el órgano judicial al emplazamiento mediante edictos sin agotar previamente las posibilidades de averiguación del domicilio real de la ejecutada, bien a través de la localización del domicilio de don Ricardo José Montoya Morata, bien por la consulta telemática al Registro de Cooperativas de la Región de Murcia a fin de averiguar la identidad de los miembros de su consejo rector y solicitó la suspensión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28 de octubre de 2020, se rechazó la nulidad de actuaciones pretendida por la parte recurrente y se acordó continuar el procedimiento. En la fundamentación del auto, con cita del artículo 686.1 de la Ley de enjuiciamiento civil (LEC) se recogía el contenido del auto de 8 de enero de 2018, de la Sección Primera de la Audiencia Provincial de Murcia, que, con referencia a otros anteriores de la misma sección, atendía a la vinculación de las partes al domicilio pactado en la escritura de hipoteca, y, a la consecuencia de que intentado el emplazamiento en el domicilio pactado, la falta de notificación del saldo deudor no es imputable a la entidad ejecutante, al regir en la ejecución hipotecaria el artículo 683 LEC que impide al deudor el cambio del domicilio fijado para recibir notificaciones derivadas de la hipoteca, amén de establecer una serie de normas para que se pueda llevar a cabo y de exigir una expresa y fehaciente notificación al deudor del cambio de domicilio, aspectos estos que evidentemente no se han producido por lo que habrá que estar al domicilio pactado e inscrito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invoca la vulneración del derecho a la tutela judicial efectiva (art. 24.1 CE) sin indefensión, en su manifestación de derecho de acceso al proceso, reconocido en el artículo 24.1 CE, al haber seguido el órgano judicial el procedimiento de ejecución acudiendo al emplazamiento por edictos sin haber agotado, previamente, los mecanismos previstos en el artículo 686.3 LEC, para intentar la averiguación y localización del domicilio de la recurrente por otros medios.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que el órgano judicial ha decidido soslayar de forma consciente e intencionada la doctrina del Tribunal Constitucional sobre el artículo 686.3 LEC establecida en las SSTC 122/2013, de 20 de mayo, 131/2014, de 21 de julio; 137/2014, de 8 de septiembre; 169/2014, 22 de octubre ; 89/2015, de 11 de mayo; 151/2016, de 19 de septiembre; 5/2017; 6/2017, de 16 de enero; 106/2017, de 18 de septiembre; 137/2017, de 27 de noviembre, y 5/2018, de 22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se ha acudido al emplazamiento por edictos sin practicar ninguna diligencia de averiguación domiciliaria de la ejecutada, ni de su apoderada, o del representante legal de esta última, cuando fácilmente se hubiera podido localizar el domicilio de este o consultar telemáticamente al registro de cooperativas de la Región de Murcia a fin de identificar a los miembros del consejo rector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solicita que se reconozca la vulneración invocada y que se declare la nulidad del auto de 28 de octubre de 2020 del Juzgado de Primera Instancia núm. 3 de Lorca y que se acuerde la retracción de las actuaciones al momento inmediatamente anterior al requerimiento de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digo, pide que se acuerde la suspensión del procedimiento de ejecución hipotecaria en el que se ha dictado decreto de fecha 5 de noviembre de 2020, acordando la adjudicación a la parte ejecutante de las fincas subastadas, pues, de no proceder a la suspensión solicitada, la adjudicataria podría vender a terceras personas las fincas adjudicadas, que resultarían no reivindicables en virtud del artículo 34 de la Ley hipotecaria (LH) y por tanto la continuación del procedimiento ejecutivo haría perder al recurso de amparo su finalidad, sin que, por otra parte, concurra perturbación grave de los intereses generales, ni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sendas providencias de 10 de mayo de 2021, la Sección Segunda de este tribunal acordó admitir a trámite el recurso de amparo apreciando que concurre en el mismo especial trascendencia constitucional [art. 50.1 de la Ley Orgánica del Tribunal Constitucional (LOTC)] porque el órgano judicial pudiera haber incurrido en una negativa manifiesta del deber de acatamiento de la doctrina de este tribunal [STC 155/2009, FJ 2 f)], y dirigir comunicación al órgano judicial interviniente, a fin de que en el plazo que no exceda de diez días remita certificación o fotocopia adverada de las actuaciones correspondientes al procedimiento de ejecución hipotecaria núm. 207-2019, y que proceda a emplazar a quienes hubieran sido parte en el proceso del que trae causa el presente recurso, excepto la parte recurrente en amparo, para que en plazo de diez días puedan comparecer, si lo desean.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 Sección dispuso formar pieza separada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17 de mayo de 2021 la recurrente presentó escrito de alegaciones en el que además de insistir en la solicitud efectuada en la demanda de amparo, afirmaba que la suspensión de actuaciones es la única medida cautelar apta e idónea para evitar el perjuicio que supondría la continuación de la ejecución, pues si bien la anotación preventiva de la demanda de amparo en el registro de la propiedad podría evitar la presunción de buena fe del tercer adquirente, y con ello evitar el carácter no reivindicable de su enajenación, tal medida no evitaría la toma de posesión de las fincas por el ejecutante y el consecuente desalojo de aquellos terceros compradores de las fincas durante el proceso de construcción de la nueva edificación, que vienen ocupando las mismas y que no han podido subrogarse en los concretos préstamos de sus viviendas por la irregular situación de mora del préstamo a la promoción. Refería que, si bien el órgano judicial había acordado la suspensión del lanzamiento fijado para la fecha de 22 de noviembre de 2019, podría señalar una nueva fecha de lanzamiento que ocasionaría los perjuicios irreparables ya indicados en el recurso de amparo, privando al amparo su finalidad. Por otra parte, indica que, “la medida cautelar de anotación preventiva de la demanda de amparo en el registro de la propiedad, implica su anotación en las setenta y tres fincas ejecutadas, con un coste económico por aranceles registrales imposible de asumir por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escrito el día 31 de mayo de 2021, por el que partiendo de la doctrina constitucional considera que no se acredita la incidencia económica negativa e irreparable que la continuación del procedimiento pudiera causar, más allá de la mera petición de suspensión y la referencia a los efectos jurídicos de la inscripción registral. Añade que sí es posible lograr el efecto protector deseado por la recurrente mediante la práctica de la anotación preventiva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solicitud de suspensión cautelar del procedimiento de ejecución hipotecaria. La recurrente refiere que solo la suspensión del procedimiento puede evitar el desalojo de los compradores de las viviendas en construcción, no siendo efectiva a tal efecto la anotación preventiva de la demanda en el registro de la propiedad, pues con ella solo se evitaría la protección del tercer adquirente y la recurrente carece de recursos económicos para la satisfacción de los aranceles registrales. El Ministerio Fiscal considera que no concurren los presupuestos exigidos para acordar la suspensión del procedimiento de ejecución y propone como alternativa la medida cautelar de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lo irreparable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FJ 1; 147/2017, de 13 de noviembre, FJ 1, y 177/2019, FJ 2].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que no es jurídicamente sostenible fundar la medida cautelar, para atender la finalidad de evitar un eventual, futuro e incierto lanzamiento de posibles ocupantes de las viviendas, cuya existencia, pese afirmarse de modo genérico e inconcreto, no consta acreditada por la demandante de amparo. Es por ello que el único riesgo atendible es que las fincas pudieran ser transmitidas a un tercero de buena fe, con la consiguiente consolidación de una posición jurídicamente inatacable, y dicho riesgo, una vez que las fincas han sido adjudicadas a favor de la entidad ejecutante no puede preservarse con la mera suspensión del procedimiento, pues solamente la prohibición de disponer o la anotación de la demanda de amparo en el registro de la propiedad, podrían evitar la adquisición irreivindicable por tercero de las fincas.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ello que el tribunal, atendidas las circunstancias que presenta el supuesto sometido a consideración, estima que de modo alternativo, procedería que se acordara la medida cautelar de anotación preventiva de la demanda de amparo en el registro de la propiedad. Esta medida, como bien indica el Ministerio Fiscal, se evidencia, y así hemos tenido ocasión de declararlo, como medida idónea para evitar el perjuicio derivado de que la adquisición de los bienes inmuebles por terceros de buena fe los hagan irreivindicables, evitando los perjuicios derivados de la paralización de un procedimiento que goza de las características de celeridad y sumariedad. En efecto, con la práctica de la anotación preventiva de la demanda de amparo, se podría lograr, una de las finalidades del registro de la propiedad, esto es, que sea fiel trasunto de la realidad jurídica —en este caso, advertir de la pendencia del presente proceso constitucional— y, por ende, un eficaz instrumento de seguridad jurídica (AATC 18/2012, de 30 de enero, FJ 4; 282/2014, de 17 de noviembre, FJ 5; 29/2015, de 16 de febrero, FFJJ 3 y 4; 50/2015, de 2 de marzo, FJ 4, y 59/2015, de 16 de marzo, FJ 3), que no se podría lograr —una vez adjudicadas las fincas a la entidad ejecutante— mediante la suspensión del procedimiento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afirmado la anotación preventiva es una medida cautelar que este tribunal, de conformidad con el art. 56 LOTC, puede adoptar de oficio o a instancia de parte, con fundamento en el art. 42.1 LH (AATC 274/2002, de 18 de diciembre; 257/2003, de 14 de julio; 230/2007, de 7 de mayo, FJ 3; 415/2007, de 5 de noviembre, FJ 4, y 28/2009, de 26 de enero, FJ 2), pero difícilmente puede acordarse contra la voluntad del solicitante de la medida cautelar, que es quien a la postre deberá satisfacer los correspondientes aranceles derivados de la anotación.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mercantil recurrente rechaza como medida cautelar adecuada la anotación preventiva, al considerar que no evitaría el riesgo del lanzamiento de los ocupantes de las fincas —riesgo que hemos calificado de insuficiente—, y porque se encuentra imposibilitada de hacer frente a los costes de arancel derivados de la práctica de la anotación registral y que le serían reclamados una vez la misma se hubiera materializado. En tales circunstancias, no pudiendo conceder una medida cautelar contra la voluntad del propio interesado en la misma, procede denegar la práctica de la anotación preventiva interesada por el Ministerio Fiscal con carácter alternativo.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la anotación preventiva de la demanda de amparo en el registro de la propiedad alternativamente interesada por el Ministerio Fiscal. En cualquier caso, ello no impide que, en virtud de circunstancias sobrevenidas o que no pudieron ser conocidas al tiempo de sustanciarse el incidente de suspensión, la mercantil recurrente pueda acudir de nuevo ante este tribunal solicitando la modificación de nuestra decisión al amparo de lo previsto en el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cautelar solicitada del procedimiento de ejecución hipotecaria núm. 207-2019 seguido en el Juzgado de Primera Instancia núm. 3 de Lorca, así como la práctica de la anotación preventiva de la demanda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