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5840-2020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No admitir a trámite la recusación formulada por don Joaquim Torra i Pla.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Llevar testimonio de esta resolución para su incorporación en el procedimiento principal en el que se ha formulado la recusación.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noviembre de 2020, don Joaquim Torra i Pla, representado por el procurador de los tribunales don Javier Fernández Estrada y asistido por el letrado don Gonzalo Boye Tuset, presentó recurso de amparo —registrado con el núm. 5840-2020— contra el auto de la Sala Civil y Penal del Tribunal Superior de Justicia de Cataluña de 13 de octubre de 2020, que desestimó el recurso de súplica interpuesto contra el auto de 28 de septiembre de 2020 de la misma Sala, dictados en el procedimiento abreviado núm. 1-2019 que ulteriormente dio lugar a la ejecutoria núm. 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autos se declaró firme la sentencia de 19 de diciembre de 2019, dictada por la Sala de lo Civil y Penal del Tribunal Superior de Justicia de Cataluña que condenó al recurrente como autor penalmente responsable de un delito de desobediencia cometido por autoridad o funcionario público, tras ser desestimado el recurso de casación interpuesto en virtud de la sentencia de 28 de septiembre de 2020 dictada por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había interpuesto antes del presente recurso de amparo, mediante la misma representación y defensa, otros dos recursos de amparo. El recurso de amparo núm. 4586-2020, deducido contra las dos sentencias citadas, por las que se le condenó como autor penalmente responsable de un delito de desobediencia, que ha sido admitido y recabado para su conocimiento por el Pleno del Tribunal Constitucional mediante providencia de 6 de octubre de 2020. Y, previamente, interpuso el recurso de amparo núm. 3476-2020, contra los autos de la Sala Tercera del Tribunal Supremo de 20 de febrero de 2020 y 23 de enero de 2020, que denegaron la adopción de medidas cautelares solicitadas en el procedimiento contencioso-administrativo para la protección de los derechos fundamentales núm. 8-2020, y que el Pleno de este tribunal también admitió a trámite y recabó su conocimiento en virtud de providencia de 22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abril de 2021, la Sala Segunda de este tribunal decidió la admisión a trámite del presente recurso de amparo y propuso su avocación al Pleno, que por providencia de 18 de mayo siguiente, acordó recabar para sí su conocimiento conforme establece el artículo 10.1 n)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4 de junio del 2021, el procurador de los tribunales antes indicado, bajo la invocación de los derechos a un tribunal imparcial, en relación con el derecho a un procedimiento con todas las garantías previsto en el art. 24.2 de la CE y art. 6 del Convenio Europeo de Derechos Humanos, art. 47 de la Carta de Derechos Fundamentales de la Unión Europea, ha formulado, en el presente recurso de amparo, incidente de recusación del magistrado don Cándido Conde-Pumpido Tourón, al considerar que concurren en el mismo las causas novena, décima y duodécima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refiere, el magistrado recusado se encuentra incurso en la causa legal prevista en el art. 219 décima LOPJ, pues dada la relación “notoria” entre este proceso y la causa especial núm. 20907-2017 seguida en el Tribunal Supremo y que ha dado lugar al recurso de amparo núm. 5840-2020, el reconocimiento por el magistrado de esta causa de abstención en dicho recurso de amparo debe proyectarse sobre el presente recurso, al ser “notorio” que el recurrente fue condenado “por haber manifestado su solidaridad con los presos políticos y exiliados catalanes” sujetos a dicha causa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entiende que también se encuentra incurso en las causas legales de recusación novena y duodécima del art. 219 LOPJ, como consecuencia de su anterior condición de fiscal general del Estado y por su amistad con el Sr. Pedro Crespo Barquero, encontrándose el recusado en una relación análoga con el presente proceso a la que llevó a la abstención del magistrado don Antonio Narváez, aceptada por ATC 99/2018, en el recurso de amparo 5934-2017. Añade que es notorio que el Sr. Pedro Crespo Barquero que ha sido nombrado por RD 345/2021, de 18 de mayo como fiscal Jefe ante el Tribunal Constitucional fue uno de los más estrechos colaboradores del magistrado recusado en la etapa en que fue fiscal general del Estado, añadiendo que el teniente fiscal ante el Tribunal Constitucional también fue nombrado por don Cándido Conde-Pumpido Touron por Real Decreto 1424/2006 de 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junio de 2021 dictada por el Pleno del Tribunal Constitucional se acordó unir el anterior escrito presentado formulando incidente de recusación, así como la formación de pieza separada de recusación con suspensión de las actuaciones y designar al magistrado don Santiago Martínez-Vares García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4 de junio de 2021, el procurador de los tribunales don Javier Fernández Estrada, en nombre y representación de don Joaquim Torra i Pla, formuló incidente de recusación para conocer del recurso de amparo núm. 5840-2020 contra el magistrado don Cándido Conde-Pumpido Touron, por concurrir en el mismo las causas novena, décima y duodécima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las primeras resoluciones dictadas en materia de recusación, este tribunal ha admitido la posibilidad de denegar su tramitación cuando razones procesales o de fondo así lo exijan (AATC 109/1981, de 30 de octubre; 269/2014, de 4 de noviembre, entre otros muchos). El rechazo a limine de una recusación puede producirse como consecuencia de su defectuoso planteamiento procesal (AATC 383/2006, de 2 de noviembre, FJ 2, y 394/2006, de 7 de noviembre, FJ 2). También es posible inadmitir a trámite las recusaciones en atención al momento en que se suscitan, su reiteración, las circunstancias que las circundan, a su planteamiento o a las argumentaciones que las fundamentan (AATC 394/2006, de 7 de noviembre, FJ 2; 454/2006, de 12 de diciembre, FJ 3, y 177/2007, de 7 de marzo, FJ 1), cuando son formuladas con manifiesto abuso de derecho o entrañan fraude de ley o procesal (art. 11.2 LOPJ), tal y como reiteradamente ha sostenido la jurisprudencia constitucional (ATC 119/2017, de 7 de septiembre, FJ 3). En tales casos, hemos afirmado que este último comportamiento también constituye una evidente infracción del deber de actuar con probidad en el proceso (art. 11.2 LOPJ), sin formular incidentes dilatorios, que resulta de la genérica obligación de colaborar en la recta administración de justicia (art. 118 CE), exigencia esta que, lamentablemente, en muchas ocasiones es desconocida.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presente caso, este tribunal considera conveniente destacar el carácter manifiestamente infundado de la recusación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debe destacarse la inconsistencia de la afirmada causa de recusación prevista en el art. 219 décima LOPJ, “tener interés directo o indirecto en el pleito o causa”, pues el recurrente omite cualquier referencia a la concurrencia de dicho interés y lo sustituye por la mera afirmación, huérfana de desarrollo argumental, de la existencia de una relación entre la causa penal en la que fue condenado el demandante de amparo y la causa especial núm. 20907-2017 seguida en la Sala Segunda del Tribunal Supremo, en cuyos recursos de amparo este Pleno por ATC 48/2021, de 21 de abril ha admitido la abstención del magistrado don Cándido Conde-Pumpido Touron. En este sentido, hemos afirmado que en el escrito en el que se proponga una recusación se deben expresar “los hechos concretos en que la parte funde tal afirmación y que estos hechos constituyan —en principio— los que configuran la causa invocada” (ATC 109/1981, de 30 de octubre, FJ 2; en el mismo sentido, AATC 115/2002, de 10 de julio, FJ 1; 80/2005, de 17 de febrero, FJ 3; 454/2006, de 12 de diciembre, FJ 3, y 26/2007,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el recurrente, pese al carácter eminentemente personalísimo de la causa de recusación prevista en el art. 219 novena LOPJ (“amistad íntima”), afirma que entre don Pedro Crespo Barquero y el recusado existe “amistad”, sin justificar su afirmación, ni adjetivarla en modo alguno. Esto es, no expresa los hechos concretos en que la parte pudiera fundar tal afirmación, ni menos aún el proceso de inferencia en virtud del cual alcanza de modo lógico y racional dicha conclusión. En efecto, no podemos entender que el recusante infiere la existencia de amistad entre el recusado con don Pedro Crespo, de la circunstancia de que este fuera nombrado por don Cándido Conde-Pumpido fiscal jefe de la Secretaría Técnica de la Fiscalía General del Estado, pues ello supondría atribuirle un entendimiento de la función pública ajeno a elementales exigencias constitucionales (art. 23.1 CE). Es por ello que debe recordarse que no basta afirmar un motivo de recusación, sino que es preciso expresar los hechos concretos en que la parte funde tal afirmación y que estos hechos constituyan —en principio— los que configuran la causa invocada (ATC 109/1981, de 30 de octubre, FJ 2; en el mismo sentido, AATC 115/2002, de 10 de julio, FJ 1, y 80/2005, de 17 de febrero, FJ 3). Por otra parte, debe destacarse que el recurrente alude a la existencia de amistad, rebajando la intensidad contenida en la causa legal que sustenta la misma, y olvidando con ello que la interpretación del ámbito de las causas de recusación recogidas en la ley es estricta, o no extensiva (STC 162/1999, de 27 de septiembre,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Y también debe indicarse que no menos endeble es la invocación de la causa de recusación contenida en el art. 219 duodécima LOPJ (“haber sido una de las partes subordinado del juez que deba resolver la contienda litigiosa”), que el recurrente ampara en la relación de subordinación existente “en su día entre quien ostenta actualmente la condición de magistrado del Tribunal Constitucional con los fiscales que han intervenido en este procedimiento”. Al plantear dicha causa de recusación el recusante no advierte que en la regulación de las causas de abstención y recusación el término parte no comprende al representante del Ministerio Fiscal (véase el art. 219 primera LOPJ), pues los funcionarios que representan al ministerio público en las causas en que este interviene no son parte, a título personal, en dichos procedimientos, limitándose a expresar en cada uno de ellos la unidad de actuación que caracteriza a la institución (art. 124 CE), y en segundo lugar, introduce de facto una nueva causa de inelegibilidad como magistrado del Tribunal Constitucional, ser o haber sido fiscal general del Estado, exceptuando parcialmente lo dispuesto en el art. 159.2 CE y 18 de la Ley Orgánica del Tribunal Constitucional, pues el magistrado que hubiera tenido dicha condición debería apartarse de la mayor parte de los procedimientos que se tramitan ante el Tribunal Constitucional, mermando el quorum de las Secciones, las Salas y 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en aplicación de los criterios que han sido ya expuestos, apreciándose el carácter manifiestamente infundado de la recusación formulada, procede su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No admitir a trámite la recusación formulada por don Joaquim Torra i Pla.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Llevar testimonio de esta resolución para su incorporación en el procedimiento principal en el que se ha formulado la recusación.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