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5368-2020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5368-2020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290-2018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noviembre de 2020, la entidad Euroinversiones Inmobiliarias Costa Sur, S.L., representada por la procuradora de los tribunales doña Blanca Berriatua Horta y bajo la dirección del letrado don Marcelino Gilabert, interpuso recurso de amparo contra los autos de 21 de septiembre de 2018 y 29 de septiembre de 2020, dictados por el Juzgado de Primera Instancia e Instrucción núm. 5 de Lorca, en el procedimiento de ejecución hipotecaria núm. 290-2018,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290-2018 promovido por la entidad Banco de Sabadell, S.A., frente a la sociedad Euroinversiones Inmobiliarias Costa Sur, S.L., en calidad de prestataria e hipotecante.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servicio de notificaciones de la Fábrica Nacional de Moneda y Timbre remitió a la demandante de amparo, a través de la dirección electrónica habilitada, un aviso de notificación del citado auto que le fue comunicado por dicho medio el 21 de mayo de 2018. En dicha comunicación se informa que la notificación estará disponible hasta el 6 de julio de 2018, accediendo la recurrente de amparo efectivamente a la página web y a la notificación el último día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18 de julio de 2018. Por auto de 21 de septiembre de 2018 se acordó su inadmisión por considerar la pretensión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que fue desestimado por auto de 29 septiembre de 2020 con la siguiente argumentación: “Las alegaciones del recurrente no desvirtúan el auto recurrido que es claro y correcto en fundamentación fáctica y jurídica. La presentación de la oposición por la parte ejecutada ha sido extemporánea como aclara el auto recurrido. En fecha 21 de mayo de 2018 se notificó y requirió en legal forma a la demandada a través de la sede judicial electrónica al ser persona jurídica, la remisión fue correcta y no es hasta el día 18 de julio de 2018 cuando se presenta la oposición, claramente fuera del plazo de los diez días que se le concede a la parte ejecutada para presentar su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forma de realizar la notificación debía haber sido por remisión al domicilio de la empresa según lo dispuesto en el art. 155 de la Ley de enjuiciamiento civil y que al hacerlo a través de la sede electrónica no había tenido conocimiento del procedimiento de ejecución hasta el 6 de julio de 2018, tal y como consta en el certificado del servicio del soporte del servicio de notificaciones electrónica y dirección electrónica habilitada, por lo que esta debe ser la fecha a partir de la cual deben comenzar a contar los diez días para poder formular la oposición y, por tanto, su escrito fue presentado dentro del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febrero de 2021 la Sección Primera de este tribunal acordó no admitir a trámite el recurso de amparo por no apreciar en el mismo la especial trascendencia constitucional que, como condición para su admisión, requiere el art. 50.1 b) LOTC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con fecha 23 de febrero de 2021, interpuso recurso de súplica ex art. 50.3 de la Ley Orgánica del Tribunal Constitucional (LOTC) contra la providencia de 10 de febrero de 2021, en el que interesaba que se dejase sin efecto la providencia indicada, dictándose otra en su lugar admitiendo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la Sección Primera de 5 de abril de 2021 se estimó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10 de mayo de 2021 la Sección Primera de este tribunal acordó admitir a trámite el recurso de amparo, apreciando que concurren el mismo una especial trascendencia constitucional (art. 50.1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se acordó dirigir comunicación al Juzgado de Primera Instancia e Instrucción núm. 5 de Lorca, a fin de que, en el plazo de diez días, remitiera certificación o fotocopia adverada de las actuaciones correspondientes a la ejecución hipotecaria núm. 290-2018, debiendo previamente emplazarse, para que en el plazo de diez días pudieran comparecer, si lo desearan,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se acuerda formar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el 17 de mayo de 2021, la parte demandante formuló sus alegaciones, reiterando lo dicho en el otrosí de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en escrito registrado el 31 de mayo de 2021, tras exponer la doctrina de este tribunal sobre suspensión de resoluciones y actos impugnados, afirma que este tribunal se ha pronunciado ya en varios recursos de esta misma empresa en asuntos muy similares, con una alegación prácticamente igual para pedir la suspensión. En estos asuntos se ha resuelto sobre la petición de suspensión aplicando la doctrina constitucional, por lo cual considera que procede dar la misma respuesta que en esos procesos, en los que se estima que no procede la suspensión de la ejecución, sino adoptar la medida cautelar de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diligencia de ordenación del secretario de justicia de la Sala Primera de 2 de junio de 2021, al haberse personado en las actuaciones principales del presente recurso la procuradora de los tribunales doña María Claudia Munteanu en nombre y representación de la entidad Pera Assets Designated Activity Company, se concede un plazo de tres días a dicha parte, para que dentro de este término alegue lo que estime pertinente en relación con la petición de suspensión interesada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presentado el 9 de junio de 2021, la procuradora de los tribunales doña María Claudia Munteanu, en nombre y representación de Pera Assets Designated Activity Company, presentó su escrito de alegaciones en el que se opone a la suspensión. Tras reproducir distintos autos del Tribunal Constitucional en los que se deniegan las suspensiones interesadas, señala que la recurrente se limita a solicitar la suspensión sin acreditar ningún tipo de perjuicio que pueda considerarse irreparable, teniendo como única finalidad la de entorpecer y demorar el procedimiento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290-2018,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es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entre otros, en los AATC 27/2020, de 24 de febrero;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la anotación preventiva constituye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290-2018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