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92</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377-2018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8 de febrero de 2021, la entidad Euroinversiones Inmobiliarias Costa Sur, S.L., representada por la procuradora de los tribunales doña Blanca Berriatua Horta y bajo la dirección del letrado don Marcelino Gilabert García, interpuso recurso de amparo contra los autos dictados por el Juzgado de Primera Instancia e Instrucción núm. 4 de Lorca en el procedimiento de ejecución hipotecaria núm. 377-2018, en fechas 15 de noviembre de 2018 y 27 de noviembre de 2019, por los que, respectivamente, se inadmitió por extemporánea la oposición a la ejecución hipotecaria y se confirmó esta última decisión al ser desestimado el recurso de reposición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337-2018 promovido por la entidad Banco de Sabadell, S.A., frente a la sociedad Euroinversiones Inmobiliarias Costa Sur, S.L.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21 de junio de 2018 se acordó despachar ejecución frente a la sociedad demandada. El citado auto y el decreto de la misma fecha fueron comunicados a la indicada entidad a través de la sede judicial electrónica el día 22 de junio de 2018. El mismo día, el servicio de notificaciones electrónicas de la Fábrica Nacional de Moneda y Timbre remitió a la demandante de amparo, a través de la dirección electrónica habilitada, una notificación del siguiente tenor: “[L]a Notificación estará disponible en su dirección electrónica habilitada única desde el 22 de junio de 2018 hasta el 7 de agosto de 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demandante presentó escrito de oposición a la ejecución despachada en fecha 29 de agosto de 2018. Por auto 15 de noviembre de 2018 se acordó su inadmisión por presentación extemporánea, al considerarse que había transcurrido el plazo de diez días previsto en el art. 695 de la Ley de enjuiciamiento civil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demandante interpuso recurso de reposición contra el auto de inadmisión indicado. Tras su tramitación, el recurso fue desestimado por auto de 27 de noviembre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denuncia la vulneración de su derecho a la tutela judicial efectiva sin indefensión (art. 24.1 CE), en su vertiente de acceso al proceso. Considera que la interpretación ofrecida en los autos objeto de impugnación priva a la recurrente del derecho a formular oposición en un proceso de ejecución hipotecaria. Aduce que siguió la literalidad de las instrucciones contenidas en un correo electrónico que recibió procedente del servicio de notificaciones electrónicas, y que accedió al contenido de la notificación dentro del plazo establecido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afirma que el órgano judicial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 respecto alega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 de julio de 2021, la Sección Tercera de este tribunal acordó admitir a trámite el recurso de amparo.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9 de julio de 2021, la parte demandante formuló sus alegaciones en las que reitera lo interesado en el otrosí de su demanda, con sustento en el ATC 287/2013, de 16 de diciembre, cuyo contenido parcialmente transcribe.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3 de septiembre de 2021. En síntesis, interesa que se acuerde la anotación preventiva de la demanda en el registro de la propiedad. Tras compendiar la doctrina constitucional relativa a la suspensión prevista en el art. 56 LOTC, sostiene que en el presente supuesto procede dar la misma respuesta que la que se ofrece en los AATC 27/2020 y 28/2020, ambos de 28 de febrero, FJ 3; y que conforme a lo razonado en dichas resoluciones procede no acceder a la suspensión de la ejecución solicitada y, en su lugar, acordar la anotación preventiva de la demanda de amparo en el registro de la propiedad.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377-2018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permite concluir, de acuerdo con el Ministerio Fiscal, que resulta improcedente la suspensión solicitada, pues la medida idónea es la anotación preventiva de la demanda en el registro de la propiedad. 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 Esta misma ha sido la solución acogida recientemente, entre otros, en los AATC 2/2019, de 9 de enero; 88/2018, de 17 de septiembre; 106/2017, de 17 de julio, y 28/2020, de 23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así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de 25 de mayo,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217/2012, de 26 de noviembre, FJ 2; 21/2018, de 5 de marzo, FJ 5; 88/2018, de 17 de septiembre, FJ 5, y 27/2020, de 23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377-2018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