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377-2018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febrero de 2021,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4 de Lorca en el procedimiento de ejecución hipotecaria núm. 377-2018, en fechas 15 de noviembre de 2018 y 27 de noviembre de 2019, por los que, respectivamente, se inadmitió por extemporánea la oposición a la ejecución hipotecaria y se confirmó esta última decisión al ser desestimado el recurso de reposición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337-2018 promovido por la entidad Banco de Sabadell, S.A., frente a la sociedad Euroinversiones Inmobiliarias Costa Sur, S.L.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a la sociedad demandada. El citado auto y el decreto de la misma fecha fueron comunicados a la indicada entidad a través de la sede judicial electrónica el día 22 de junio de 2018. El mismo día, el servicio de notificaciones electrónicas de la Fábrica Nacional de Moneda y Timbre remitió a la demandante de amparo, a través de la dirección electrónica habilitada, una notificación del siguiente tenor: “[L]a Notificación estará disponible en su dirección electrónica habilitada única desde el 22 de junio de 2018 hasta el 7 de agosto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presentó escrito de oposición a la ejecución despachada en fecha 29 de agosto de 2018. Por auto 15 de noviembre de 2018 se acordó su inadmisión por presentación extemporánea, al considerarse que había transcurrido el plazo de diez días previsto en 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demandante interpuso recurso de reposición contra el auto de inadmisión indicado. Tras su tramitación, el recurso fue desestimado por auto de 27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 su derecho a la tutela judicial efectiva sin indefensión (art. 24.1 CE), en su vertiente de acceso al proceso. Considera que la interpretación ofrecida en los autos objeto de impugnación priva a la recurrente del derecho a formular oposición en un proceso de ejecución hipotecaria. Aduce que siguió la literalidad de las instrucciones contenidas en un correo electrónico que recibió procedente del servicio de notificaciones electrónicas, y que accedió al contenido de la notificación dentro del plazo establecido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afirma que el órgano judicial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 respecto alega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 de julio de 2021, la Sección Tercera de este tribunal acordó admitir a trámite el recurso de amparo.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9 de julio de 2021, la parte demandante formuló sus alegaciones en las que reitera lo interesado en el otrosí de su demanda, con sustento en el ATC 287/2013, de 16 de diciembre, cuyo contenido parcialmente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3 de septiembre de 2021. En síntesis, interesa que se acuerde la anotación preventiva de la demanda en el registro de la propiedad. Tras compendiar la doctrina constitucional relativa a la suspensión prevista en el art. 56 LOTC, sostiene que en el presente supuesto procede dar la misma respuesta que la que se ofrece en los AATC 27/2020 y 28/2020, ambos de 28 de febrero, FJ 3; y que conforme a lo razonado en dichas resoluciones procede no acceder a la suspensión de la ejecución solicitada y, en su lugar, acordar la anotación preventiva de la demanda de amparo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377-2018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permite concluir, de acuerdo con el Ministerio Fiscal, que resulta improcedente la suspensión solicitada, pues la medida idónea es la anotación preventiva de la demanda en el registro de la propiedad.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106/2017, de 17 de julio, y 28/2020, de 23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así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217/2012, de 26 de noviembre, FJ 2; 21/2018, de 5 de marzo, FJ 5; 88/2018, de 17 de septiembre, FJ 5, y 27/2020, de 23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377-2018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