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13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5570-2021, interpuesto por cincuenta y dos diputados del Grupo Parlamentario Vox del Congreso de los Diputados contra el artículo 2, apartados décimo y decimonoveno, de la Ley 8/2021, de 2 de junio, por la que se reforma la legislación civil y procesal para el apoyo a las personas con discapacidad en el ejercicio de su capacidad jurídica. Ha comparecido y formulado alegaciones el abogado del Estado.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 de septiembre de 2021, más de cincuenta diputados del Grupo Parlamentario Vox del Congreso de los Diputados, presentaron recurso de inconstitucionalidad contra el artículo 2.10 y 19 de la Ley 8/2021, de 2 de junio, por la que se reforma la legislación civil y procesal para el apoyo a las personas con discapacidad en el ejercicio de su capacidad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inicia su razonamiento destacando el carácter injustificado de la reforma normativa que cuestiona, al considerar que las normas impugnadas nada tienen que ver con la modificación que la Ley 8/2021 implementa y, menos aún, con la adecuación a nuestro ordenamiento jurídico de la Convención internacional sobre los derechos de las personas con discapacidad, a la que se alude en el preámbulo como justificación de la reforma. Existe, a juicio de los recurrentes, una total desconexión de los preceptos cuestionados con la finalidad perseguida por la Ley 8/2021, sin que en el preámbulo de la ley se justifique la introducción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dicha valoración, el recurso se estructura en dos partes diferenciadas que se refieren: a) a la inconstitucionalidad del artículo 2.10 de la Ley 18/2021, en la redacción que efectúa al art. 94 párrafo cuarto del Código civil (CC), por vulnerar los artículos 24, 117.3, 122 y 9.3 CE; b) a la inconstitucionalidad del artículo 2.19 de la misma ley, en la redacción que confiere al artículo 156 párrafo segundo CC, por vulneración del artículo 117 CE en relación con el artículo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reproducir el artículo 2.10 de la Ley 8/2021 e identificar el párrafo cuarto como el que constituye el objeto del recurso, indica que el precepto está destinado a regular las situaciones de conflicto que pueden plantearse con ocasión de la disolución matrimonial. Resalta que el art. 39 CE impone a los poderes públicos el deber de asegurar la protección social, económica y jurídica de la familia, así como la protección integral de los hijos y de las madres, y señala que esa tutela que debe dispensar el poder público solo será efectiva si la supervisión y, en su caso, la resolución que haya de adoptarse, en caso de que no exista acuerdo, se atribuyen a los órganos que integran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primer inciso del párrafo cuarto del art. 94 CC, en la redacción que le otorga la reforma, cuando señala que “[n]o procederá el establecimiento de un régimen de visita o estancia, y si existiera se suspenderá, respecto del progenitor que esté incurso en un proceso penal iniciado por atentar contra la vida, la integridad física, la libertad, la integridad moral o la libertad e indemnidad sexual del otro cónyuge o sus hijos”, vulnera el art. 117 CE en relación con el art. 39 CE y el derecho a la tutela judicial efectiva sin indefensión (art. 24.1 CE). Tal infracción constitucional resulta al privar al progenitor de los derechos de visita o estancia de modo automático, por imposición legal, sin opción a que el juez pueda pronunciarse de modo distinto valorando lo más conveniente para los hijos menores. Se impide de este modo la efectividad del mandato constitucional por el que se impone a la autoridad judicial velar por la protección de los menores. El precepto “limita e impide el ejercicio de la potestad jurisdiccional que, en exclusiva, corresponde a los órganos integrantes en el poder judicial”, y priva al progenitor que se considere lesionado en sus derechos de la posibilidad de recurrir la decisión que debiera haber adoptado el órgano judicial, privándole de este modo del derecho a la tutela judicial efectiva (art. 24.1 CE). En apoyo de su pretensión reproduce parte de los fundamentos jurídicos dos a siete de la STC 185/2012, de 17 de octubre, al considerar que se pronunció sobre un caso sustancialmente idéntico al ahora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mismas vulneraciones —así como la reserva de ley orgánica (arts. 81.1 y 122 CE)— le atribuye al segundo inciso del párrafo cuarto del art. 94 CC, en la redacción que le otorga la Ley 8/2021, cuando señala que “[t]ampoco procederá cuando la autoridad judicial advierta, de las alegaciones de las partes y las pruebas practicadas, la existencia de indicios fundados de violencia doméstica o de género.” Considera que es un supuesto esencialmente idéntico al contemplado en el primer inciso, pues la privación de los derechos de visita y estancia del progenitor opera de forma automática por decisión del legislador, sin que la autoridad judicial resuelva a favor de la mejor opción para el interés del menor, a tenor de las peculiaridades del supuesto específico. Entiende que procede proyectar los mismos argumentos expuestos para sostener la inconstitucionalidad del primer inciso, pero “además en este segundo supuesto, se añade la vulneración de la reserva de ley orgánica, tal y como resulta de los arts. 81.1 y 122 CE, así como del derecho al juez ordinario predeterminado por la ley, que consagra 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precepto obliga al juez civil a pronunciarse acerca de la existencia de indicios fundados de violencia doméstica o de género, cuando dicho pronunciamiento “solo se puede realizar por un órgano que pertenezca a la jurisdicción penal”, a quien le corresponde además adoptar cuantas medidas considere precisas para proteger a menores y demás personas especialmente vulnerables. Considera que se vulnera la reserva de ley orgánica (art. 81.1 CE en relación con el art. 122.1 CE), al regular mediante ley ordinaria una materia propia de ley orgánica y modificar, sin rango suficiente lo que la ley orgánica había asumido como contenido propio y había regulado de modo diferente, refiriéndose en tal sentido al carácter improrrogable de la jurisdicción (art. 9.6 de la Ley Orgánica del Poder Judicial: LOPJ) y a la atribución de asuntos al orden jurisdiccional penal (arts. 9.2 y 3 y 89 bis.2 LOPJ). Dicha regulación también vulnera el derecho al juez ordinario predeterminado por la ley (art. 24.2 CE), al no atribuirse la competencia al juez “ordinario”, que es “aquel a quien, de modo natural, le correspondería su conocimiento”, sin respetar la estructura jurisdiccional desarrollada por la LOPJ e imposibilitando la impugnación de la resolución por el progenitor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tanto el primero como el segundo inciso del párrafo cuarto del art. 94 CC, en la redacción que les otorga la Ley 8/2021, quebrantan el principio de seguridad jurídica al no definir con exactitud la situación jurídica a la que se atribuye efectos restrictivos. Centra dicha “incertidumbre insuperable”, en que no es posible determinar, conforme a los términos en que se pronuncia la ley, ni por otra vía indirecta, cuando una persona se haya “incursa en un procedimiento penal iniciado”, por lo que al progenitor le resulta imposible saber con carácter previo la razón determinante de la privación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que en nada altera lo argumentado el contenido del último inciso del párrafo cuarto del art. 94 CC cuando refiere que “[n]o obstante, la autoridad judicial podrá establecer un régimen de visita, comunicación o estancia en resolución motivada en el interés superior del menor o en la voluntad, deseos y preferencias del mayor con discapacidad necesitado de apoyos y previa evaluación de la situación de la relación paternofilial.”, pues la privación siempre será previa a la resolución que pudiera adoptar el órgano judicial al producirse de manera automática en el momento de verificarse el supuesto de hecho previsto en la ley. El deber constitucional de velar por el superior interés y beneficio del menor no admite vacatio, en que el interés del menor pueda sufrir las consecuencias de una decisión automatizada que prescinde de las circunstancias que le afectan.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inconstitucionalidad del artículo 2.19 de la misma ley, en la redacción que confiere al artículo 156 párrafo segundo CC, considera que vulnera el artículo 117 CE en relación con el artículo 39 CE. Sostiene, tras reproducir el contenido del precepto, que en el mismo se “prevé la privación automática de la patria potestad con relación al progenitor que se halle en determinadas circunstancias”, omitiendo la intervención del órgano judicial. Más adelante indica que el precepto “contempla la privación automática y por efecto de la ley, de la facultad que corresponde al progenitor de participar en la toma de decisiones que le incumben en el ejercicio de la patria potestad”, sin resolución judicial que le limite o prive de las facultades que le conciernen.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Desglosa tres supuestos contenidos en el párrafo segundo del art. 156 CC: (i) el caso en el que se haya dictado una sentencia condenatoria y mientras no se extinga la responsabilidad penal, considera que la única interpretación posible es que la sentencia condenatoria haya establecido una privación o limitación de las facultades de la patria potestad; (ii) el supuesto en el que se haya “iniciado un procedimiento penal contra uno de los progenitores” y (iii) la circunstancia en la que “la mujer esté recibiendo asistencia en un servicio especializado de violencia de género, siempre que medie informe emitido por dicho servicio que acredite dicha situación”. En estos dos últimos casos se infringen los arts. 117 y 39 CE, al tratarse de una injerencia del legislador en el ejercicio de la potestad jurisdiccional. Entiende que, si se ha iniciado un proceso penal, la adopción de cualquier medida en relación con la investigación de los hechos le corresponde al órgano judicial en consideración con el interés del menor. Afirma que no puede el legislador usurpar dicha función, sustituyendo el ejercicio de la potestad judicial por un automatismo impuesto sin consideración al interés del menor. Reprocha al precepto que dé preferencia a un progenitor por el mero hecho de estar recibiendo asistencia en un centro de violencia de género, único requisito que debe acreditar, prescindiendo de la resolución de un órgano judicial, adoptada en consideración al interés del menor y una vez oídas todas las partes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octubre de 2021, el Pleno, a propuesta de la Sección Segunda, acordó admitir a trámite el recurso de inconstitucionalidad y dar traslado de la demanda y documentos presentados (art. 34 LOTC) al Congreso de los Diputados y al Senado, por conducto de sus presidentes, y al Gobierno, a través del ministro de Justicia, al objeto de que, en el plazo de quince días, pudieran personarse en el proceso y formular las alegaciones que estimaren convenientes, así como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sendos escritos de 19 de octubre de 2021, la presidenta del Congreso de los Diputados y el presidente del Senado comunicaron el acuerdo de la mesa, de aquella misma fecha, en orden a que se diera por personada a las respectivas Cámaras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28 de octubre de 2021, el abogado del Estado se personó en el proceso en nombre del Gobierno y solicitó que se le concediera prórroga, por el máximo legal del plazo conferido para formular alegaciones. En diligencia de ordenación de 2 de noviembre siguiente, se le tuvo por personado en la representación que legalmente ostenta y se prorrogó en ocho días el plazo concedido por providencia de 7 de octubre de 2021, a contar desde el siguiente al 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16 de noviembre de 2021, la abogacía del Estado presentó su escrito de alegaciones solicitando que se dicte sentencia por la que se desestime íntegramente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contestación a los argumentos de los recurrentes destacando el carácter de “poder público” del Legislativo (arts. 9 y 39.1 y 2 CE) y la actuación del legislador como tal poder en su configuración de la realidad a través de la ley formal. Considera que la STC 185/2012 no es aplicable al referirse a un supuesto teórico diferente al que ahora es objeto de análisis. En el caso resuelto por la sentencia se descartó supeditar la potestad jurisdiccional al informe del Ministerio Fiscal, mientras que en el presente caso estamos ante un problema de distinta naturaleza, pues el legislativo y el órgano actuante, que aun independiente en su función, debe adecuarse a lo establecido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legislativo no ha llevado a cabo, mediante la regulación impugnada una actuación de privación, de cercenamiento de la patria potestad de los progenitores, sino que configura el régimen general de ejercicio de las facultades de guarda y compañía de los menores sobre la base del cual luego habrá de decidirse por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Constitución no configura de manera explícita al menos, las concretas facultades o algunas de las específicas facultades de la patria potestad. En la configuración de la patria potestad el legislador no puede vulnerar las previsiones genéricamente establecidas o principios reconocidos por el art. 39 CE. Si bien este precepto no establece un límite mínimo explícito, más allá de lo que pueda llegar a ser el interés y la protección preferente del menor, tampoco atribuye específicamente al órgano jurisdiccional determinados poderes de decisión, pues el alcance de las potestades de decisión del órgano jurisdiccional competente en cada caso es algo que puede quedar determinado y configurado por la ley en un sentido u otro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infracción del principio de reserva de ley orgánica, la regulación no incide indebidamente en el régimen orgánico de distribución de competencias entre los diferentes órdenes jurisdiccionales previsto en la Ley Orgánica del Poder Judicial. Los preceptos de la ley que han sido objeto de recurso de inconstitucionalidad no invaden o hacen decidir al órgano jurisdiccional civil sobre materias de naturaleza penal. Que lo decidido, de manera definitiva o provisional, en un proceso penal pueda generar efectos o consecuencias en el otro, por así haberlo previsto el legislador, no resulta contrario al régimen de distribución de competencias entre los distintos órdenes jurisdiccionales en tanto que el juez penal no decide los aspectos civiles, ni el juez civil aspectos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indica que el art. 156 apartado segundo CC no constituye la decisión o la provisión para que el juez civil decida sobre un asunto penal. Se trata tan solo de la eventual constatación por el juez civil de un hecho indubitado: “la sentencia habida, unido ello a la comprobación de la no extinción de la responsabilidad penal, o bien el solo hecho de incoado que conste un procedimiento, para que se produzca el efecto legal querido por el legislador; es decir, que ante dichas eventuales circunstancias constatadas externamente por el juez civil, será suficiente entonces el consentimiento del otro progenitor para que puedan acordarse los efectos que ese art. 156, párrafo segundo,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del letrado de la administración de justicia de 16 de noviembre de 2021, se tuvieron por formuladas las alegaciones en el plazo conferido, quedando pendientes en su momento para deliberación y votación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septiembre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argumentos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proceso constitucional tiene por objeto resolver el recurso de inconstitucionalidad interpuesto por más de cincuenta diputados del Grupo Parlamentario Vox del Congreso de los Diputados contra los apartados décimo y decimonoveno del artículo 2 de la Ley 8/2021, de 2 de junio, por la que se reforma la legislación civil y procesal para el apoyo a las personas con discapacidad en el ejercicio de su capacidad jurídica, y se da una nueva redacción a los arts. 94 párrafo cuarto y 156 párrafo segundo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primera precisión es necesaria. Si bien los recurrentes impugnan formalmente la totalidad del artículo 2 en sus apartados décimo y decimonoveno de la Ley 8/2021, de 2 de junio, por la nueva redacción que respectivamente confieren a los arts. 94 párrafo cuarto y 156 párrafo segundo CC, sin embargo, de su argumentación resulta que únicamente cuestionan la constitucionalidad de una parte de dichos párrafos.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reproducen a continuación —en cursiva— los concretos incisos que se impugnan de la redacción que le otorga la reforma operada por la Ley 8/2021 al párrafo cuarto del art. 94 CC y al párrafo segundo del art. 156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párrafo cuarto del art. 94 CC en la redacción dada por la reforma recurrida,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procederá el establecimiento de un régimen de visita o estancia, y si existiera se suspenderá, respecto del progenitor que esté incurso en un proceso penal iniciado por atentar contra la vida, la integridad física, la libertad, la integridad moral o la libertad e indemnidad sexual del otro cónyuge o sus hijos. Tampoco procederá cuando la autoridad judicial advierta, de las alegaciones de las partes y las pruebas practicadas, la existencia de indicios fundados de violencia doméstica o de género. No obstante, la autoridad judicial podrá establecer un régimen de visita, comunicación o estancia en resolución motivada en el interés superior del menor o en la voluntad, deseos y preferencias del mayor con discapacidad necesitado de apoyos y previa evaluación de la situación de la relación paternofilial”.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párrafo segundo del artículo 156 CC, en la redacción que le otorga la reforma operada por la Ley 8/2021,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“Dictada una sentencia condenatoria y mientras no se extinga la responsabilidad penal o iniciado un procedimiento penal contra uno de los progenitores por atentar contra la vida, la integridad física, la libertad, la integridad moral o la libertad e indemnidad sexual de los hijos o hijas comunes menores de edad, o por atentar contra el otro progenitor, bastará el consentimiento de este para la atención y asistencia psicológica de los hijos e hijas menores de edad, debiendo el primero ser informado previamente. Lo anterior será igualmente aplicable, aunque no se haya interpuesto denuncia previa, cuando la mujer esté recibiendo asistencia en un servicio especializado de violencia de género, siempre que medie informe emitido por dicho servicio que acredite dicha situación. Si la asistencia hubiera de prestarse a los hijos e hijas mayores de dieciséis años se precisará en todo caso el consentimiento expreso de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esta segunda impugnación, debe introducirse otra precisión. La reforma, únicamente introduce el segundo inciso del párrafo segundo del art. 156 CC: “Lo anterior será igualmente aplicable, aunque no se haya interpuesto denuncia previa, cuando la mujer esté recibiendo asistencia en un servicio especializado de violencia de género, siempre que medie informe emitido por dicho servicio que acredite dicha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y último inciso —este no impugnado— del párrafo segundo del art. 156 CC, no ha sufrido modificación alguna por la reforma. Ambos incisos fueron introducidos por el Real Decreto-ley 9/2018, de 3 de agosto, de medidas urgentes para el desarrollo del pacto de Estado contra la violencia de género. Solo el segundo inciso trascrito ha sido introducido por la Ley 8/2021. De este modo, podría inferirse que los recurrentes han aprovechado la modificación parcial del art. 156 CC, operada por la Ley 8/2021, para exigir la anulación de una regulación introducida por el Real Decreto-ley 9/2018, eludiendo con ello el plazo de interposición del recurso de inconstitucionalidad del art. 33 LOTC. Sin embargo, esa conclusión no puede sostenerse: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Ciertamente es doctrina constitucional consolidada que los requisitos procesales son de orden público y no se hallan a disposición de las partes. En concreto, el art. 33.1 LOTC dispone, con carácter general, que el recurso de inconstitucionalidad “se formulará dentro del plazo de tres meses a partir de la publicación de la ley, disposición o acto con fuerza de ley impugnado”; plazo que debe entenderse de caducidad y que empieza a contar desde el día siguiente al de la publicación de la ley impugnada [por todas, STC 125/2021, de 3 de junio, FJ 2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cabe destacar que la concreta modificación del párrafo segundo del artículo 156 CC se limita a habilitar a la mujer que esté recibiendo asistencia en un servicio especializado de violencia de género —siempre que medie informe emitido por dicho servicio que acredite dicha situación—, para consentir en la atención y asistencia psicológica de los hijos e hijas menores de edad, debiendo informar previamente al otro progenitor. Sin embargo, al transcribirse por el apartado decimonoveno del artículo 2 íntegramente el art. 156 CC en la redacción anterior, sobre el que efectúa además otras adicciones y supresiones, la Ley 8/2021 modifica formalmente el precepto, cuyo párrafo segundo se impugna. Se abre de este modo el plazo del art. 33 LOTC para que el artículo así reformado pueda ser recurrido en la redacción que le ha dado la ley modificadora y ello con independencia del grado de coincidencia material con la redacción anterior del mismo [SSTC 8/2013, de 17 de enero, FJ 2; 103/2013, de 25 de abril, FJ 5, y 125/2021, FJ 2 B) b)], por lo que no procede apreciar la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lo que a los motivos de impugnación se refiere, los diputados recurrentes reprochan, con carácter general, sin anclaje en un concreto precepto de la Constitución, que la reforma de los preceptos impugnados no está justificada en el preámbulo de la Ley 8/2021 y que la misma se encuentra totalmente desconectada de la finalidad que dicha ley persigue, esto es, la adaptación normativa a la Convención internacional sobre los derechos de las personas con discapacidad. El juicio de constitucionalidad no es un juicio de técnica legislativa,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y segundo inciso del párrafo cuarto del art. 94 CC, los recurrentes comienzan por argumentar que en el art. 39 CE se residencia la atribución al poder judicial de un poder de supervisión sobre el deber de asegurar la protección de la familia y de los hijos y de las madres que dicho precepto impone a los poderes públicos. De tal modo que al privar al progenitor de los derechos de visita y estancia por imposición legal, sin dar opción al juez para que se pronuncie del modo más favorable a los menores, y sin posibilitar la existencia de un recurso contra la decisión por el progenitor afectado, y hacerlo de modo automático, se lesiona la efectividad del mandato constitucional de velar por la protección de los menores e infringen el art. 117 CE en relación con el art. 39 y 24.1 CE (citan, en su apoyo, la STC 185/2012, de 17 de octubre, FFJJ 2, 3, 5, 6 y 7). También atribuyen a ambos incisos, el quebranto del principio de seguridad jurídica (art. 9.3 CE), si bien únicamente concretan dicha infracción en el empleo de la expresión “incursa en un procedimiento penal iniciado”, a la que reprochan que impide conocer cuando una persona se encuentra en dicha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 redacción del segundo inciso del párrafo cuarto del art. 94 CC al atribuir al juez del orden jurisdiccional civil que valore la existencia de indicios fundados de violencia doméstica o de género propios del orden jurisdiccional penal, además de menoscabar el derecho al juez ordinario predeterminado por la ley (art. 24.2 CE), afecta a los preceptos de la Ley Orgánica del Poder Judicial [arts. 9.6, 9.2 y 3 y 89 bis.2)], y quebranta el principio de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impugnan en su totalidad el artículo 2.19 de la misma ley, que modifica el art. 156 CC, por vulnerar el art. 117 CE en relación con el art. 39 CE. Indican que privar automáticamente, por efecto de la ley, a un progenitor de la facultad que le corresponde en la toma de decisiones que le incumben en el ejercicio de la patria potestad, supone una injerencia en la potestad jurisdiccional al posibilitar que un progenitor adopte una medida en relación con la investigación de los hechos que le corresponde al órgano judicial penal o bien carece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ha solicitado la íntegra desestimación del recurso, con los argumentos que con detalle se exponen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y alcance del art. 39 CE. Planteamiento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son las cuestiones que se plantean en el recurso: (a) en primer lugar si los arts. 39, 24.1 y 117.3 CE atribuyen al poder judicial una facultad de supervisión, como límite constitucional añadido a la libertad de configuración del legislador de la regulación del régimen de visitas y estancias de los menores con sus padres; (b) en segundo lugar, si la regulación impugnada supone la privación por disposición legal a un progenitor de los derechos de visita y estancia y lesionan la efectividad del mandato de velar por el interés del menor; (c) en tercer lugar, si quebranta el principio de seguridad jurídica (art. 9.3 CE) la expresión “incurso en un proceso penal iniciado” que se contiene en el párrafo cuarto del art. 94 CC; (d) si contraviene el derecho al juez ordinario predeterminado por la ley y la reserva de ley orgánica atribuir al órgano judicial del orden jurisdiccional civil la valoración de la existencia de indicios fundados de violencia doméstica o de género; e) y, por último, si atribuir en determinadas circunstancias a un progenitor la decisión de que los hijos menores de edad reciban atención y asistencia psicológica informando previamente al otro progenitor vulnera el art. 117 CE en relación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 primera de las cuestiones planteadas en el recurso, procede recordar que el art. 39 CE es el primero de los que el capítulo tercero del título I dedica a los “principios rectores de la política social y económica”. Estos “principios rectores”, cuyo “reconocimiento, respeto y protección” informarán “la legislación positiva, la práctica judicial y la actuación de los poderes públicos”, según dice el art. 53.3 de la Constitución, impide considerarlos como normas sin contenido y obliga a tenerlos presentes en la interpretación tanto de las restantes normas constitucionales como de las leyes (STC 19/1982, de 5 de mayo, FJ 6). Es por ello por lo que no cabe excluir, “que el principio rector sea utilizado como criterio para resolver sobre la constitucionalidad de una acción positiva del legislador, cuando esta se plasma en una norma de notable incidencia sobre la entidad constitucionalmente protegida” (STC 45/1989, de 20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no concretan cuál de los apartados del art. 39 CE se ve concernido por la reforma. Las alusiones que contiene el recurso al deber de velar por la protección de los menores, de los hijos y de la familia, ya sea directamente, ya a través de las referencias contenidas en la extensa cita de la STC 185/2012, permiten entender que la inconstitucionalidad que los recurrentes predican se encuadra en el art. 39 CE en su conjunto, cuyos apartados, por otra parte, se encuentran estrechamente vinculados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del Tribunal Constitucional sobre el derecho de visitas, comunicaciones y estancias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reconocido la dimensión constitucional del derecho de visitas, comunicaciones y estancias desde la perspectiva del mandato de protección a la familia y a la infancia (art. 39 CE). De este modo, es doctrina constitucional que “cuando está en juego el interés de los menores, sus derechos exceden del ámbito estrictamente privado y pasan a tener una consideración más cercana a los elementos de ius cogens, que la STC 120/1984, de 10 de diciembre, FJ 2, reconoce que concurren en los procedimientos judiciales relativos a la familia, a partir de que el artículo 39.2 CE sanciona una protección integral de los hijos por parte de los poderes públicos” (STC 185/2012, FJ 4). En consecuencia, tanto la regulación del régimen de estancias, comunicaciones y visitas, exista o no acuerdo parental, como su aplicación por los órganos judiciales y por los poderes públicos, deben estar presididas por la protección del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hemos indicado que “debe tenerse presente que la comunicación y visitas del progenitor que no ostenta la guarda y custodia permanente del hijo menor de edad se configura por el art. 94 del Código civil como un derecho del que aquel podrá gozar en los términos que se señalen judicialmente” (STC 176/2008, de 22 de diciembre, FJ 5). En el mismo fundamento de esta sentencia hemos referido que “los instrumentos jurídicos internacionales sobre protección de menores, integrados en nuestro ordenamiento ex art. 10.2 CE y por expresa remisión de la propia Ley Orgánica 1/1996, de 15 de enero, sobre protección jurídica del menor (art. 3), contemplan el reconocimiento del derecho a la comunicación del progenitor con el hijo como un derecho básico de este último, salvo que en razón a su propio interés tuviera que acordarse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coherente con lo que acaba de indicarse “constituye doctrina consolidada de este tribunal, […] que en materia de relaciones paternofiliales (entre las que se encuentra lo relativo al régimen de guarda y custodia de los menores por sus progenitores, como es el caso que nos ocupa) el criterio que ha de presidir la decisión que en cada caso corresponda adoptar al juez, a la vista de las circunstancias concretas, debe ser necesariamente el del interés prevalente del menor, ponderándolo con el de sus progenitores, que aun siendo de menor rango, no por ello resulta desdeñable (SSTC 141/2000, de 29 de mayo, FJ 5; 124/2002, de 20 de mayo, FJ 4; 144/2003, de 14 de julio, FJ 2; 71/2004, de 19 de abril, FJ 8; 11/2008, de 21 de enero, FJ 7)” (STC 176/2008,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hemos afirmado que “[e]l interés superior del niño opera, precisamente, como contrapeso de los derechos de cada progenitor y obliga a la autoridad judicial a ponderar tanto la necesidad como la proporcionalidad de la medida reguladora de la guarda y custodia del menor. Cuando el ejercicio de alguno de los derechos inherentes a los progenitores afecta al desenvolvimiento de sus relaciones filiales, y puede repercutir de un modo negativo en el desarrollo de la personalidad del hijo menor, el interés de los progenitores deberá ceder frente al interés de este. En estos casos nos encontramos ante un juicio de ponderación que debe constar expresamente en la resolución judicial, identificando los bienes y derechos en juego que pugnan de cada lado, a fin de poder calibrar la necesidad y proporcionalidad de la medida adoptada” (STC 176/2008,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“interés superior del menor” en los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interés superior del menor se reconoce como principio rector del derecho a mantener relaciones paternofiliales en las normas, acuerdos y tratados internacionales rubricados por España, lo que conecta, a través del art. 10.2 CE, con nuestro propio sistema de derechos fundamentales y libertades (STC 36/1991, de 14 de febrero, FJ 5). A ello se añade que, de modo expreso, el art. 39.4 CE dispone que “los niños gozarán de la protección prevista en los acuerdos internacionales que velan por sus derechos”, de tal modo que este precepto constitucional prevé una protección integral del niño, que deberá ajustarse a lo prescrito en los convenios internacionales ratificados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Convención de Naciones Unidas sobre los derechos del niño, adoptada por la Asamblea General de las Naciones Unidas el 20 de noviembre de 1989, en vigor desde el 2 de septiembre de 1990 y ratificada el 30 de noviembre de 1990, consagra el “interés superior del menor” como un principio que, proyectado también sobre los órganos legislativos, debe tener una “consideración primordial” por los Estados parte. Así, el art. 3.1 de la indicada Convención establece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[STC 81/2021, de 19 de abril, FJ 2 C)]. En su artículo 9.3 se establece que “[l]os Estados partes respetarán el derecho del niño que esté separado de uno o de ambos padres a mantener relaciones personales y contacto directo con ambos padres de modo regular, salvo si ello es contrario al interés superior del niño”. Y en el art. 19.2 establece que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progenitores, de un representante legal o de cualquier otra persona que lo tenga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Convenio relativo a la protección del niño y a la cooperación en materia de adopción internacional, de 29 de mayo de 1993, ratificado el 30 de junio de 1995, reconoce el “interés superior del niño” y “el respeto de los derechos fundamentales” como principios rectores en este caso de las adopciones internacionales. En fin, nuevamente como “consideración primordial” es calificado “el interés superior del niño” en el Convenio relativo a la competencia, la ley aplicable, el reconocimiento, la ejecución y la cooperación en materia de responsabilidad parental y de medidas de protección de los niños, hecho en La Haya el 19 de octubre de 1996, ratificado el 28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Unión Europea, la Carta de los derechos fundamentales (en adelante CDFUE) reconoce que la opinión del menor será tenida en cuenta en relación con los asuntos que les afecten, en función de su edad y de su madurez. Afirma que el “interés superior del menor” es “una consideración primordial” en todos los actos relativos a los menores llevados a cabo por autoridades públicas o instituciones. Reconociendo el derecho de todo niño “a mantener de forma periódica relaciones personales y contactos directos con su padre y con su madre, salvo si ello es contrario a sus intereses” (art. 24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Convenio del Consejo de Europa sobre prevención y lucha contra la violencia contra las mujeres y la violencia doméstica, hecho en Estambul el 11 de mayo de 2011, y en vigor desde el 1 de agosto de 2014, establece que las partes tomarán las medidas legislativas u otras necesarias para que, en el momento de estipular los derechos de visita relativos a los hijos, se tengan en cuenta los incidentes de violencia incluidos en el ámbito de aplicación del presente convenio y que el ejercicio de ningún derecho de visita ponga en peligro los derechos y la seguridad de la víctima y de los niños (art. 31). Recuerda que los Estados partes pueden adoptar en relación con los autores de los delitos previstos en el convenio, medidas como la pérdida de sus derechos dimanantes de la patria potestad si el interés superior del menor, que puede incluir la seguridad de la víctima, no se puede garantizar de ninguna otra forma (art.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a través de la interpretación del art. 8 del Convenio europeo de derechos humanos (CEDH), ha indicado que “para un progenitor y su hijo, el estar juntos representa un elemento fundamental de la vida familiar” (SSTEDH de 16 de septiembre de 1999, asunto Buscemi c. Italia, § 53; de 24 de mayo de 2011, asunto Saleck Bardi c. España, § 50, y de 18 de junio de 2013, asunto R.M.S. c. España, § 68) y cualquier injerencia en la vida familiar debe estar “prevista en la ley”, y que “sea una medida necesaria en una sociedad democrática para la seguridad nacional, la seguridad pública, el bienestar económico del país, la defensa del orden y la prevención del delito, la protección de la salud o de la moral o la protección de los derechos y libertades de los demás”. La “desintegración de una familia constituye una medida muy grave que debe reposar en consideraciones inspiradas en el interés del niño y tener bastante peso y solidez” (STEDH de 13 de julio de 2000, asunto Scozzari y Giunta c. Italia, § 148). El Tribunal Europeo de Derechos Humanos ha afirmado en numerosas ocasiones que “el artículo 8 implica el derecho de un progenitor, a medidas propias para reunirse con su hijo y la obligación de las autoridades a tomarlas” (SSTEDH de 22 de junio de 1989, asunto Eriksson c. Suecia, § 71, y de 27 de noviembre de 1992, asunto Olsson c. Suecia, §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Tribunal Europeo de Derechos Humanos “observa que un respeto efectivo de la vida familiar impone que las relaciones futuras entre progenitor e hijo se ajusten sobre la única base del conjunto de los elementos pertinentes, y no por el simple paso del tiempo” (SSTEDH de 2 de septiembre de 2010, asunto Mincheva c. Bulgaria, § 82, y de 24 de mayo de 2011, asunto Saleck Bardi c. España, § 82), pues “el paso del tiempo puede tener consecuencias irremediables para las relaciones entre el niño y los progenitores que no viven con él (STEDH Saleck Bardi c. España, §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 amplio consenso de que en todas las decisiones relativas a los niños debe prevalecer su interés superior (SSTEDH de 6 de julio de 2010, asunto Neulinger y Shuruk c. Suiza, § 135; de 26 de noviembre de 2013, asunto X c. Letonia, § 96). El interés superior del menor, dependiendo de su naturaleza y gravedad, puede condicionar el interés de los padres (STEDH de 8 de julio de 2003, asunto Sahin c. Alemania, § 66). Sin embargo, el interés de estos últimos, especialmente en tener contacto regular con su hijo, sigue siendo un factor a tener en cuenta al equilibrar los diversos intereses en juego (STEDH de 6 de julio de 2010, asunto Neulinger y Shuruk c. Suiza, § 134). Es en interés del niño que los lazos con su familia deben mantenerse, excepto en los casos en los que la familia ha demostrado ser particularmente inadecuada. De ello se deduce que los lazos familiares solo pueden romperse en circunstancias muy excepcionales y que se debe hacer todo lo posible para mantener las relaciones personales y, en su caso, si llega el momento, “reconstruir” la familia (SSTEDH de 19 de septiembre de 2000, asunto Gnahoré c. Francia, § 59, y de 6 de septiembre de 2018, asunto Jansen c. Noruega, § 88-93).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evaluar lo que se considera el interés superior del niño, las autoridades nacionales no deben desconocer que “[r]especto a la protección de la integridad física y moral de las personas frente a terceros, el Tribunal ya expuso que las obligaciones positivas impuestas a las autoridades —en ocasiones en virtud del artículo 2 o del 3 del Convenio aunque a veces del 8 o de este en concurso con el artículo 3— pueden implicar que haya un deber de poner en funcionamiento un marco jurídico adaptado para proteger contra los actos de violencia que podrían cometer los particulares” y específicamente “[e]n cuanto a los niños, especialmente vulnerables, los mecanismos creados por el Estado para protegerles de actos de violencia que entren en el ámbito de aplicación de los artículos 3 y 8, deben ser eficientes e incluirán medidas razonables de prevención del maltrato en relación con el cual las autoridades tengan o deberían haber tenido conocimiento así como una prevención eficaz que proteja a los niños de formas tan serias de atentar contra la integridad personal” (STEDH, Gran Sala, de 12 de noviembre de 2013, asunto Söderman c. Suecia, § 82 y 83, y las que allí se citan). También hay que ponderar las consecuencias negativas a largo plazo que pueda sufrir el menor por la pérdida del contacto con sus padres y la obligación positiva de adoptar medidas que faciliten la reunión de la familia tan pronto como sea realmente posible (STEDH Jansen c. Noruega, §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Exclusividad jurisdiccional, derecho a la tutela judicial efectiva y límites del legislador en relación con la valoración del interés del menor (art. 39 en relación con los arts. 117.3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anteriores consideraciones, procede examinar en primer lugar si como afirman los recurrentes los arts. 39, 24.1 y 117.3 CE atribuyen al poder judicial una facultad de supervisión entendida como límite constitucional añadido a la libertad de configuración del legislador en la regulación del régimen de visitas y estancias de los menores con sus padres. Debemos afirmar que del contenido del art. 39 CE o de la protección del interés prevalente del menor que resulta de dicho precepto, de los tratados internacionales y de la doctrina del Tribunal Europeo de Derechos Humanos expuesta, no se infiere —como principio general— la imposibilidad de que el legislador, al determinar la regulación relativa al régimen de estancias, comunicaciones y visitas establezca la ponderación del referido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39 CE, en sus distintos apartados, o el principio de exclusividad de jueces y magistrados en el ejercicio de la actividad jurisdiccional (art. 117.3 CE), o el derecho a la tutela judicial efectiva (art. 24.1 CE) –—a los que aluden los recurrentes—, no vedan que el legislador pueda dictar una regulación general por la que determine la resolución que deba adoptarse, en relación con las estancias y visitas, en los procedimientos civiles y penales modulando de este modo la capacidad decisoria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afirman los recurrentes, en la STC 185/2012, de 17 de octubre tuvimos ocasión de declarar la inconstitucionalidad del art. 92.8 CC, en la redacción dada por la Ley 15/2005, de 8 de julio, por la que se modifica el Código civil y la Ley de enjuiciamiento civil en materia de nulidad, separación y divorcio, al considerar irrazonable y desproporcionada dicha regulación. Ahora bien, la razón de dicha inconstitucionalidad no vino originada porque pesara sobre el legislador una prohibición general de determinar cuál era el interés del menor al regular la custodia compartida —como parecen entender los recurrentes—, sino porque la concreta regulación dejaba al arbitrio del Ministerio Fiscal la valoración de ese interés en relación con la aplicación del régimen de custodia compartida, desplazando injustificadamente la plena potestad jurisdiccional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debe descartarse que del art. 39 CE resulte la constitucionalización de un específico límite al legislador, vinculado a la exclusividad jurisdiccional, en la determinación del régimen de estancia y visitas de los hijos con sus padres. Téngase en cuenta, además, que el legislador ha de establecer una regulación que garantice los derechos fundamentales de las personas menores de edad, entre los que se encuentra el derecho a la vida y a la integridad física y moral (art. 15 CE), que la norma cuestionada trata de preservar, pudiendo establecer no solo acciones positivas o de promoción, sino también implementar prohibiciones o límites que traten de salvaguardar dichos derechos fundamentales u otros bienes dignos de protección constitucional. Será, en su caso, a este tribunal a quien le corresponda enjuiciar si la concreta regulación legal ha respetado el interés superior del menor, los derechos fundamentales o los principios constitucionales, o ha sido irrazonable, desproporcionada o arbitraria por suponer una restricción carente de justificación, en atención a la finalidad de protección del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cuando está en juego el interés del menor debe huirse de decisiones regladas o uniformes incluso en aquellos supuestos especialmente graves y que deberán ser tenidos en cuenta en el momento de estipular los derechos de visita relativos a los hijos, en que un progenitor esté incurso en un proceso penal, por atentar contra el otro progenitor —sea cónyuge, pareja sentimental o no mantenga relación sentimental o conyugal alguna— o contra sus hijos, o existan indicios fundados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prevención resulta de que no todos los delitos tienen la misma relevancia, gravedad y alcance sobre la relación paterno o materno filial, sino que serán las concretas circunstancias del caso, la gravedad y naturaleza del delito cometido, la culpabilidad del autor, la persona o personas directamente afectadas por el mismo, entre otras, las que normalmente revelarán si el interés del menor impone que se suspendan de modo absoluto las relaciones con alguno de los progenitores o con ambos. Conforme a los pronunciamientos del Tribunal Europeo de Derechos Humanos citados (SSTEDH Gnahoré c. Francia, § 59, y Jansen c. Noruega, § 88-93), solo excepcionalmente estará justificado el cese absoluto de dichas relaciones en casos cuya gravedad o especial naturaleza o circunstancias concurrentes lo aconsejen. Esto es, la suspensión absoluta del régimen de visitas, comunicaciones y estancias vendrá exigida cuando se persiga garantizar la integridad y seguridad del menor, la suspensión resulte estrictamente necesaria para el logro de dicha finalidad, y sea adecuada y proporcionada para alcanzarla al no existir alternativas menos restrictivas, de menor intensidad, graduación o progresividad para preservar la seguridad y bienestar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entre otras circunstancias deberán tomarse en consideración al establecer el régimen de visitas, comunicaciones y estancias tanto las consecuencias irremediables que el transcurso del tiempo puede tener para las relaciones entre el hijo y los padres que no viven con él, como la obligación de adoptar medidas eficientes y razonables para proteger a los niños de actos de violencia o de atentados contra su integridad personal y el derecho de todo niño “a mantener de forma periódica relaciones personales y contactos directos con su padre y con su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concreto. Inexistencia de infracción del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los arts. 39, 24.1 y 117.3 CE atribuyan al poder judicial una facultad de supervisión como límite constitucional añadido a la libertad de configuración del legislador en la regulación del régimen de visitas y estancias de los menores con sus padres, es preciso verificar ahora, si como afirman los recurrentes, los preceptos cuestionados, por privar al progenitor de los derechos de visita y estancia por imposición legal, de modo automático, lesionan la efectividad del mandato constitucional de velar por la protección de los menores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Breve referencia a la tramitación parlamentaria del proyecto de ley y texto final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esta segunda cuestión planteada por los recurrentes, haremos una breve referencia a la tramitación parlamentaria del proyecto de ley por el que se reforma la legislación civil y procesal para el apoyo a las personas con discapacidad en el ejercicio de su capacidad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indicado proyecto de ley (“Boletín Oficial de las Cortes Generales”, Congreso de los Diputados, serie A, núm. 27-1, de 17 de julio de 2020), preveía una nueva redacción al artículo 94 del Código civil, en la que no se contenía el párrafo cuarto impugnado por los recurrentes, ni tampoco su párrafo quinto —no impugnado—. Ante la inexistencia de enmiendas, se mantuvo el texto en el informe de la ponencia (“BOCG” Congreso de los Diputados, serie A, núm. 27-3, de 18 de marzo de 2021), y posteriormente fue aprobado por la comisión con competencia legislativa plena (“BOCG” Congreso de los Diputados, serie A, núm. 27-4, de 25 de marzo de 2021). El párrafo al que atribuyen la inconstitucionalidad fue incluido en virtud de una propuesta de modificación del Grupo Parlamentario Nacionalista en el Senado, al informe de ponencia (“BOCG” Senado, núm. 185, de 11 de mayo de 2021). Tal incorporación en la fase final de la tramitación impide obtener una fundamentación de la misma a través de los informes que acompañaron la elaboración del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dicha incorporación guarda relación temporal con la Ley Orgánica 8/2021, de 4 de junio, de protección integral a la infancia y la adolescencia frente a la violencia, cuya aprobación fue prácticamente simultánea a la aprobación de la Ley 8/2021, de 2 de junio. En el preámbulo de dicha ley orgánica se indica que la “lucha contra la violencia en la infancia es un imperativo de derechos humanos. Para promover los derechos de los niños, niñas y adolescentes consagrados en la Convención sobre los derechos del niño es esencial asegurar y promover el respeto de su dignidad humana e integridad física y psicológica, mediante la prevención de toda forma de violencia. La protección de las personas menores de edad es una obligación prioritaria de los poderes públicos, reconocida en el artículo 39 de la Constitución Española y en diversos tratados internacionales, entre los que destaca la mencionada Convención sobre los derechos del niño, adoptada por la Asamblea General de las Naciones Unidas el 20 de noviembre de 1989 y ratificada por España en 1990. […] Con arreglo a la Convención sobre los derechos del niño y los otros referentes mencionados, España debe fomentar todas las medidas legislativas, administrativas, sociales y educativas necesarias para garantizar el derecho del niño, niña o adolescente a desarrollarse libre de cualquier forma de violencia, perjuicio, abuso físico o mental, descuido o negligencia, malos tratos o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íntegro aprobado, que se trascribe a continuación para una mejor comprensión, y del que solo se impugnan los dos primeros incisos del apartado cuarto,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da nueva redacción al artículo 94, que queda redactado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autoridad judicial determinará el tiempo, modo y lugar en que el progenitor que no tenga consigo a los hijos menores podrá ejercitar el derecho de visitarlos, comunicar con ellos y tenerlos en su compañía.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hijos con discapacidad mayores de edad o emancipados que precisen apoyo para tomar la decisión, el progenitor que no los tenga en su compañía podrá solicitar, en el mismo procedimiento de nulidad, separación o divorcio, que se establezca el modo en que se ejercitará el derecho previsto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autoridad judicial adoptará la resolución prevista en los párrafos anteriores, previa audiencia del hijo y del Ministerio Fiscal. Así mismo, la autoridad judicial podrá limitar o suspender los derechos previstos en los párrafos anteriores si se dieran circunstancias relevantes que así lo aconsejen o se incumplieran grave o reiteradamente los deberes impuestos por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procederá el establecimiento de un régimen de visita o estancia, y si existiera se suspenderá, respecto del progenitor que esté incurso en un proceso penal iniciado por atentar contra la vida, la integridad física, la libertad, la integridad moral o la libertad e indemnidad sexual del otro cónyuge o sus hijos. Tampoco procederá cuando la autoridad judicial advierta, de las alegaciones de las partes y las pruebas practicadas, la existencia de indicios fundados de violencia doméstica o de género. No obstante, la autoridad judicial podrá establecer un régimen de visita, comunicación o estancia en resolución motivada en el interés superior del menor o en la voluntad, deseos y preferencias del mayor con discapacidad necesitado de apoyos y previa evaluación de la situación de la relación paternofilial.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procederá en ningún caso el establecimiento de un régimen de visitas respecto del progenitor en situación de prisión, provisional o por sentencia firme, acordada en procedimiento penal por los delitos previstos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autoridad judicial podrá reconocer el derecho de comunicación y visita previsto en el apartado segundo del artículo 160, previa audiencia de los progenitores y de quien lo hubiera solicitado por su condición de hermano, abuelo, pariente o allegado del menor o del mayor con discapacidad que precise apoyo para tomar la decisión, que deberán prestar su consentimiento. La autoridad judicial resolverá teniendo siempre presente el interés del menor o la voluntad, deseos y preferencias del mayor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Inexistencia de vulneración del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si la regulación impugnada respeta el principio de protección del interés superior del menor es obligado efectuar una lectura, que alejada del encorsetamiento en los dos primeros incisos del párrafo cuarto del art. 94 CC, examine el precepto impugnado de modo conjunto y sistemático.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impugnado se inserta en el título IV del libro primero del Código civil, intitulado “Del matrimonio” y en el capítulo IX del mismo: “De los efectos comunes a la nulidad, separación y divorcio” (arts. 90 a 101). En el art. 92.2 CC se establece que en el marco de los procedimientos de separación, nulidad y divorcio el juez cuando deba adoptar cualquier medida sobre el cuidado y la educación de los hijos menores —en coherencia con el art. 12 de la Convención sobre los derechos del niño y el art. 24 CDFUE—, velará por el cumplimiento de su derecho a ser oídos, y emitirá una resolución motivada en el interés superior del menor. Y antes de acordar el régimen de guarda, el juez deberá recabar informe del Ministerio Fiscal, oír a los menores que tengan suficiente juicio cuando se estime necesario de oficio o a petición del fiscal, las partes o miembros del equipo técnico judicial, o del propio menor (art. 92.6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—entrando en el análisis del art. 94 CC del que se impugna parte de su párrafo cuarto—, en relación con el establecimiento de un régimen de visitas y comunicaciones, es de observar que le corresponde a la autoridad judicial determinar el tiempo, modo y lugar en que el progenitor que no tenga consigo a los hijos menores podrá ejercitar el derecho de visitarlos, comunicar con ellos y tenerlos en su compañía. Dicha resolución se adoptará previa audiencia del hijo y del Ministerio Fiscal, pudiendo limitar o suspender el referido derecho si se dieran circunstancias relevantes que así lo aconsejen o se incumplieran grave o reiteradamente los deberes impuestos por la resolución judicial (párrafos primero y tercero del art. 94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es claro que la redacción del párrafo cuarto del art. 94 CC, cuya valoración desde un prisma técnico no nos corresponde, en modo alguno contraviene el art. 39 CE, ni la doctrina que lo interpreta y que ha sido expuesta, ni tampoco los convenios internacionales que le sirven de pauta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precepto no priva de modo automático al progenitor del régimen de visitas o estancias como afirman los recurrentes, sino que atribuye a la autoridad judicial la decisión sobre el establecimiento o no de un régimen de visitas o estancias o la suspensión del mismo, incluso en los supuestos en los que un progenitor esté incurso en un proceso penal iniciado por atentar contra la vida, la integridad física, la libertad, la integridad moral o la libertad e indemnidad sexual del otro cónyuge o sus hijos o cuando la autoridad judicial advierta, de las alegaciones de las partes y las pruebas practicadas, la existencia de indicios fundados de violencia doméstica o de género, en la que se comprende también “la violencia que con el objetivo de causar perjuicio o daño a las mujeres se ejerza sobre sus familiares o allegados menores de edad” (apartado 4 del art. 1 de la Ley Orgánica 1/2004, de 28 de diciembre, de medidas de protección integral contra la violencia de género —en adelante LOVG—, introducido por la disposición final décima de la Ley Orgánica 8/2021, de 4 de junio), por parte de quienes sean o hayan sido sus cónyuges o de quienes estén o hayan estado ligados a ellas por relaciones similares de afectividad, aun sin convivencia (art. 1.1 LOVG).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claramente si en la lectura del párrafo cuarto no se omite su inciso tercero, que atribuye en todo caso la decisión relativa al establecimiento o no de un régimen de visitas, comunicación y estancias a la autoridad judicial, que deberá motivarla en atención al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alguno de los supuestos referidos en los dos primeros incisos del párrafo cuarto, será la valoración de la gravedad, naturaleza y alcance que el delito investigado tenga sobre la relación paterno o materno filial, su carácter doloso o imprudente, la persona o personas directamente afectadas por el mismo, o las concretas circunstancias del caso, las que normalmente revelarán si el interés del menor impone que se suspendan de modo absoluto, o se restrinjan o no, las relaciones del menor con alguno de los progenitores o con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decisión, frente a lo que afirman los recurrentes, se atribuye por el párrafo cuarto del art. 94 CC exclusivamente a la autoridad judicial en los casos en que así lo estime necesario o conveniente en resolución motivada en el interés superior del menor podrá optar por no privar al progenitor del régimen de visitas y estancias, o adoptar medidas “menos radicales” (STEDH de 23 de junio de 2020, asunto Omorefe c. España, § 59) restringiendo y limitando el derecho, si con ello logra conjurar los riesgos que sobre el menor se ciernen y satisface la continuidad de la relación paternofilial.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puede concluirse que el párrafo cuarto del art. 94 CC, carece del automatismo que predican los recurrentes y no predetermina legalmente la privación del régimen de visita o estancia a ninguno de los progenitores. Es la autoridad judicial la que tomará la decisión de suspender, de restringir o no el régimen de visitas y estancias, y lo deberá hacer guiada por la finalidad de velar por el interés del menor (art. 39 CE). A tal fin, el precepto impugnado no limita la posibilidad de que el órgano judicial valore la gravedad, naturaleza y alcance del delito que se atribuye a un progenitor o a ambos, ni su incidencia en la relación paterno o materno filial, su carácter doloso o imprudente, la persona o personas directamente afectadas por el mismo, así como las concretas circunstancias del caso. De este modo, a diferencia de lo que afirman los recurrentes, el precepto impugnado faculta a la autoridad judicial para que pondere entre otras las consecuencias irremediables que el trascurso del tiempo de duración de la instrucción puede tener para las relaciones entre el niño y los progenitores que no viven con él (por todas, STEDH Saleck Bardi c. España, § 52), el carácter provisional de la condición de investigado en un proceso penal, así como su deber de adoptar medidas eficientes y razonables para proteger a los niños de actos de violencia o de atentados contra su integridad personal. Dichas medidas, desde luego, pueden ocasionar la pérdida de los derechos dimanantes de la patria potestad si el interés superior del menor, que puede incluir la seguridad de la víctima, no se puede garantizar de ninguna otra forma (art. 45 del Convenio del Consejo de Europa sobre prevención y lucha contra la violencia contra las mujeres y la violencia doméstica, hecho en Estambul el 11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 descartarse la inconstitucionalidad del párrafo cuarto del art. 94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Inexistencia de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la expresión “incurso en un procedimiento penal iniciado” que se contiene en el párrafo cuarto del art. 94 CC lesiona el principio de seguridad jurídica, pues parece dar a entender que cabe la posibilidad de que el progenitor se halle incurso en un proceso penal no iniciado, o que el legislador trate de excluir de su aplicación los supuestos en que solo conste presentada denuncia o querella, sin que aún se haya resuelto sobre su admisión. Añade que no existe un concepto legal que describa la situación de “estar incurso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sobre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STC 135/2018, de 13 de diciembre, FJ 5, que “[d]esde el punto de vista gramatical, el término ‘seguridad’ denota certeza, certidumbre, pero también confianza o previsibilidad. Si tales cualidades se proyectan sobre el ámbito de lo jurídico, podremos definir la seguridad jurídica como la certeza de la norma que hace previsibles los resultados de su aplicación. Sendos aspectos —certeza y previsibilidad— se encuentran íntimamente vinculados. Muestran las dos vertientes objetiva-subjetiva, definitorias de la seguridad jurídica, que aparecen reflejadas en la doctrina del Tribunal Constitucional, cuando afirma que la seguridad jurídica debe ser entendida desde un plano objetivo como la certeza sobre el ordenamiento jurídico aplicable y los intereses jurídicamente tutelados (STC 15/1986, de 31 de enero, FJ 1); pero además, desde una perspectiva subjetiva como la expectativa razonablemente fundada del ciudadano en cuál ha de ser la actuación del poder en la aplicación del Derecho (STC 36/1991,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indicado los recurrentes reprochan a la expresión utilizada en el párrafo cuarto del art. 94 CC en la redacción dada por la Ley 8/2021: “incurso en un proceso penal iniciado”, un defecto de técnica legislativa, pues consideran que, si el precepto precisa aclarar que el proceso penal debe estar iniciado, es porque cabe la posibilidad de que el progenitor se halle incurso en un proceso penal no iniciado. A ello añaden que no existe concepto legal que describa la situación de estar incurso en un proceso penal. Lo que vienen a cuestionar los recurrentes es la utilización de la expresión “estar incurso en un procedimiento penal”, al considerar más reconocibles otras como denunciado, querellado, investigado,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propios recurrentes, pese a afirmar de modo genérico que la indicada expresión “aboca a una incertidumbre insuperable”, sostienen que “incurso en un proceso penal iniciado”, puede tratar de excluir los supuestos en los que no se haya resuelto sobre la denuncia o querella. De este modo, admiten la posibilidad de que la cuestionada locución, al adjetivar “incurso en un proceso penal” con “iniciado”, excluya los procedimientos penales pendientes de una decisión sobre su admisión. Por lo que, al margen de las dudas interpretativas que los recurrentes atribuyen al precepto, no está en entredicho la previsibilidad y certeza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afirmado anteriormente el juicio de constitucionalidad no es un juicio de técnica legislativa,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 El control de constitucionalidad se detiene en los “defectos de técnica legislativa” [STC 225/1998, de 25 de noviembre, FJ 2 A)], en “la perfección técnica de las leyes” [SSTC 226/1993, de 8 de julio, FJ 4, y 225/1998, FJ 2 A)], en su “corrección técnica” (STC 341/1993, de 18 de noviembre, FJ 2), pues el principio de conservación de la ley opera de freno en este ámbito (STC 37/1981, de 16 de noviembre, FJ 5). No debe olvidarse por otra parte “que numerosas leyes utilizan, necesariamente, fórmulas más o menos imprecisas cuya interpretación y aplicación dependen de la práctica judicial” (STEDH de 25 de mayo de 1993, asunto Kokkinakis c. Grecia, § 40). “Por tanto, en cualquier sistema jurídico, por muy clara que sea la redacción de una disposición legal, incluso en materia penal, existe inevitablemente un elemento de interpretación judicial. Siempre será necesario dilucidar las cuestiones dudosas y adaptarse a los cambios de situación. Por otra parte, la certeza, aunque muy deseable, se acompaña a veces de una rigidez excesiva” (STEDH de 12 de febrero de 2008, asunto Kafkaris c. Chipre,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naturaleza de las medidas restrictivas de derechos contenidas en la norma cuestionada y su interpretación sistemática, permite afirmar que si la autoridad judicial decidiera la suspensión del régimen de visitas, respecto del progenitor denunciado o querellado que hubiera sido imputado por cualquiera de los delitos que el párrafo cuarto del art. 94 CC señala, habrá de hacerlo mediante una resolución motivada, en la que valore la relación indiciaria del progenitor con los hechos delictivos que han dado lugar a la formación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descartarse la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Inexistencia de vulneración del derecho al juez ordinario predeterminado por la ley (art. 24.2 CE) y de la reserva de ley orgánica (arts. 81.1 y 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el párrafo cuarto del art. 94 CC, al atribuir a la jurisdicción civil el pronunciamiento acerca de la existencia de indicios de delito en lugar de a la jurisdicción penal, que es a la que —a su juicio— le corresponde de modo “ordinario” por su vinculación “natural” con el objeto del litigio, ha vulnerado el derecho al juez ordinario predeterminado por la ley (art. 24.2 CE), y al hacerlo mediante ley ordinaria, ha menoscabado el principio de reserva de ley orgánica (arts. 81.1 y 122 CE) modificando sin rango suficiente lo previsto por la Ley Orgánica del Poder Judicial (arts. 9.2 y 3, y 89 bis.2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los recurrentes lleva a recordar la doctrina que este tribunal ha establecido al interpretar el “derecho al juez ordinario predeterminado por la ley” (art. 24.2 CE). y más en concreto a examinar tanto el concepto de “ordinario”, que los recurrentes equiparan a “natural”, así como la naturaleza de la norma a la que alude el art. 24.2 CE —“predeterminado por la ley”— en relación con los arts. 81.1 y 122 CE, que los recurrentes consideran que debe tener carácter de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Delimitación del concepto de “juez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consagrado en el art. 24.2 CE, en relación con el “derecho al juez ordinario predeterminado por la ley”, significa desde luego la “garantía para el justiciable de una predeterminación del órgano judicial que ha de instruir, conocer y decidir […] pero también indica que dicho ‘juez ordinario’ es el que se establezca por el legislador. Como ha venido sosteniendo este tribunal, el derecho constitucional al juez ordinario predeterminado por la ley exige que el órgano judicial haya sido creado previamente por la norma jurídica, con generalidad y con anterioridad al caso, y que la composición de ese órgano venga determinada por la ley, […] que su régimen orgánico y procesal no permita calificarle de órgano especial o excepcional […]. La Constitución prohíbe jueces excepcionales o no ordinarios, pero permite al legislador una determinación de las competencias de acuerdo a los intereses de la justicia, y teniendo en cuenta experiencias propias y ajenas” (STC 199/1987, de 16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“ordinario” desde un punto de vista negativo viene establecida “por el art. 117.6 CE cuando al declarar lapidariamente que ‘se prohíben los tribunales de excepción’, excluye la existencia de órganos judiciales que excepcionen el derecho al juez ordinario predeterminado por la ley” (STC 204/1994, de 11 de julio, FJ 4). La doctrina de este tribunal es muy clara: “el derecho al llamado juez legal comprende, entre otras consideraciones, la exclusión de las distintas modalidades del juez ‘ad hoc’ excepcional o especial, junto a la exigencia de la predeterminación del órgano judicial, predeterminación que debe tener por origen, una norma dotada de generalidad, y que debe haberse dictado con anterioridad al hecho motivador del proceso, respetando en todo, la reserva de ley en la materia” (STC 193/1996, de 26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Significado de la remisión a la ley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partirse de que el derecho reconocido en el art. 24.2 CE es al juez ordinario “predeterminado por la ley”, consecuencia necesaria del principio de división de poderes y reflejo del Estado de Derecho, y que tiene por objeto asegurar que la organización judicial en una sociedad democrática no dependa de la discrecionalidad del Poder Ejecutivo, sino que esté regulada por la ley emanada del Parlamento (STC 122/2021, de 2 de junio, FJ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 de recordarse que este tribunal desde sus primeras sentencias tuvo oportunidad de precisar el significado y alcance de esa remisión a la ley en relación con el rango de la norma en que han de contenerse los criterios generales de determinación de la competencia. El Tribunal se ha pronunciado en el sentido de entender que se trata de ley en sentido estricto, como resulta tanto de la dicción literal del precepto como de su interpretación sistemática. Así, en la STC 101/1984, de 8 de noviembre, el Tribunal afirmó que “la referencia del art. 24.2 a la ley, coherente con lo también dispuesto en los arts. 53.1 y 86.1 de la Constitución, exige que el vehículo normativo para determinar cuál será el juez del caso es la ley en sentido estricto”. De modo que “la referencia expresa a la ley que lleva a cabo el art. 24.2 CE se corresponde así con la reserva de ley que efectúa el art. 53.1, y la reserva similar contenida en el art. 117.3, y refleja, en relación con la fijación de las reglas fundamentales de la competencia, material y territorial, una exclusión de otras normas —Decretos-leyes o disposiciones de carácter reglamentario— distintas de la ley en sentido estricto, por cuanto que esta se configura como la garantía de la independencia e imparcialidad judicial” (STC 93/1988, de 24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genérica mención de los recurrentes al art. 122.1 CE obliga a recordar que el término “constitución” de los juzgados y tribunales que el art. 122.1 CE reserva a la Ley Orgánica del Poder Judicial, comprende de modo indudable, la institución de los diferentes órdenes jurisdiccionales y la definición genérica de su ámbito de conocimiento litigioso. Satisfecha dicha reserva “cabe que el legislador ordinario concrete las materias específicas objeto del conocimiento de tales órdenes, produciéndose, de este modo, una colaboración entre ambas formas normativas —ley orgánica y ley ordinaria— que no obsta a la reserva establecida en el artículo 122.1 CE y que, por tanto, resulta constitucionalmente lícita […]. Por consiguiente, siendo en principio correcto en términos constitucionales que una ley ordinaria atribuya a determinado orden jurisdiccional el conocimiento de tales o cuales asuntos, integrando los genéricos enunciados de la Ley Orgánica del Poder Judicial, la cuestión ha de radicar en la verificación del grado de acomodo de aquella a las previsiones de esta, que, como propias de la reserva reforzada instituida por la Constitución, resultan indisponibles para el legislador ordinario y gozan frente al mismo de la fuerza pasiva característica de las leyes orgánicas (art. 81.2 CE), de modo que la ley ordinaria no pueda excepcionar frontalmente o contradecir el diseño que de los distintos órdenes jurisdiccionales haya establecido la ley orgánica” (STC 128/2018, de 29 de noviembre,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Aplicación de la doctrina citada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debe rechazarse que el segundo inciso del párrafo cuarto del art. 94.2 CC, cuando atribuye al juez del orden jurisdiccional civil valorar si de las alegaciones de las partes y de las pruebas practicadas resultan indicios fundados de violencia doméstica o de género como circunstancia a tomar en consideración para privar o suspender el régimen de visitas o estancias, vulnere el derecho al juez ordinario predeterminado por la ley y el principio de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establecer que el juez civil debe tomar en consideración la existencia de indicios de violencia doméstica o de género a los efectos de adoptar una decisión sobre el régimen de estancias, comunicaciones y visitas, no supone la atribución de competencia al juez de primera instancia distinta de la que tiene en este ámbito y menos aún menoscaba la competencia propia del orden jurisdiccional penal. El precepto recurrido, ni modifica el marco de atribución de jurisdicción y competencia que diseña con carácter general la Ley Orgánica del Poder Judicial a los juzgados de primera instancia e instrucción (arts. 85, 87.1 LOPJ) o de violencia sobre la mujer (arts. 87 ter.1 a 4 LOPJ), ni tan siquiera dicho marco queda afectado por la regulación impugnada. Es por ello que carece de sustento la pretendida vulneración del derecho al juez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conforme a lo expuesto, tampoco se vulnera el principio de reserva de ley orgánica (arts. 81.1 y 122.1 CE), no solo porque el precepto recurrido no efectúa una atribución del conocimiento de asuntos al juez de primera instancia distinta a la que ya tenía, sino porque además la reserva de ley orgánica (art. 122.1 CE), no se proyecta a la fijación de las reglas fundamentales de la competencia, material y territorial, al bastar que tales reglas vengan establecidas por una ley en sentido estricto (STC 93/1988, FJ 4), y que no se excepcione frontalmente o contradiga “el diseño que de los distintos órdenes jurisdiccionales haya establecido la ley orgánica” (STC 128/2018,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rechazarse que el apartado cuarto del art. 94 CC, en la redacción que le ha dado la Ley 8/2021 (art. 2.10), vulnere el derecho al juez ordinario predeterminado por la ley (art. 24.2 CE) o la reserva de ley orgánica (arts. 81.1 y 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Inexistencia de vulneración del art. 117 CE en relación con el art. 39 CE por atribuir en determinadas circunstancias a un progenitor la decisión de que los hijos e hijas menores de edad reciban atención y asistencia psicológica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en la medida que el art. 156 CC, en la redacción que le da la reforma, prevé “la privación automática de la patria potestad” con relación al progenitor que se halle en determinadas circunstancias, omitiendo la intervención del órgano judicial, se produce una infracción del mismo tipo que la que los recurrentes exponen en relación con el art. 94.4 CC. Consideran que al “limitar o privar a uno de los progenitores de facultades” sin que exista resolución judicial y sin dar opción al órgano judicial de constatar la bondad de la decisión adoptada por el otro progenitor, se vulnera el art. 117 CE en relación con el art. 39 CE, al suponer bien una injerencia del legislador en el ejercicio de la potestad jurisdiccional o dar preferencia injustificadamente a lo que pueda decidir un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artículo 2.19 de la misma ley, en la redacción que confiere al artículo 156 párrafo segundo CC,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“Dictada una sentencia condenatoria y mientras no se extinga la responsabilidad penal o iniciado un procedimiento penal contra uno de los progenitores por atentar contra la vida, la integridad física, la libertad, la integridad moral o la libertad e indemnidad sexual de los hijos o hijas comunes menores de edad, o por atentar contra el otro progenitor, bastará el consentimiento de este para la atención y asistencia psicológica de los hijos e hijas menores de edad, debiendo el primero ser informado previamente. Lo anterior será igualmente aplicable, aunque no se haya interpuesto denuncia previa, cuando la mujer esté recibiendo asistencia en un servicio especializado de violencia de género, siempre que medie informe emitido por dicho servicio que acredite dicha situación. Si la asistencia hubiera de prestarse a los hijos e hijas mayores de dieciséis años se precisará en todo caso el consentimiento expreso de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proyectan las razones por las que consideran inconstitucional el art. 94.2 CC —por infringir el art. 117 CE en relación con el art. 39 CE— al art. 156.2 CC. Es por ello que debemos remitirnos a la doctrina expuesta en el fundamento jurídico tercero para descartar que la atribución por dicho precepto a uno de los progenitores de la facultad de decidir —en los supuestos que dicho precepto establece— sobre la atención y asistencia psicológica de los hijos e hijas menores de edad, informado previamente a otro progenitor, sea contrario al principio de exclusividad jurisdiccional (art. 117.3 CE), máxime cuando dicha decisión no está exenta del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ni se advierte, ni se argumenta por los recurrentes, que la atribución a uno de los progenitores de la decisión de que el menor sea asistido y atendido psicológicamente, informando previamente al otro, en los supuestos que el precepto establece —caracterizados por un claro enfrentamiento y hostilidad entre ambos progenitores—, y por tanto, por la dificultad de alcanzar un acuerdo, sea irrazonable, desproporcionada, arbitraria, o contravenga el interés del menor (art. 39 CE). Debe recordarse que cuando lo que está en juego es la depuración del ordenamiento jurídico, es carga del recurrente no solo la de abrir la vía para que el Tribunal pueda pronunciarse, sino también la de colaborar con la justicia del Tribunal mediante un pormenorizado análisis de las graves cuestiones que se suscitan, por lo que es justo hablar de una carga del recurrente y en los casos en que esta no se atiende, de una falta de diligencia procesalmente exigible, como es la de ofrecer la fundamentación que razonablemente es de esperar [por todas, SSTC 44/2015, de 5 de marzo, FJ 4 b), y 62/2016,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se desestima la vulneración del principio de exclusividad jurisdiccional (art. 117.3 CE), en relación con el art. 39 CE y, con ello, el recurso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interpuesto por cincuenta y dos diputados del Grupo Parlamentario Vox del Congreso de los Diputados.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formulan la magistrada doña María Luisa Balaguer Callejón, el magistrado don Juan Antonio Xiol Ríos y la magistrada doña Inmaculada Montalbán Huertas, a la sentencia dictada en el recurso de inconstitucionalidad núm. 5570-2021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expresamos, en el presente voto particular, parte de los argumentos que expusimos ante el Pleno en relación con la propuesta de resolución del recurso de inconstitucionalidad núm. 5570-2021.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alcance del voto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90.2 de la Ley Orgánica del Tribunal Constitucional prevé que se pueda formular en un voto particular, nuestra opinión discrepante tanto en lo que se refiere a la decisión finalmente adoptada, como a la fundamentación en que se sustenta, siempre que sea un reflejo de lo debatido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un voto particular puede discrepar tanto del fallo como de la argumentación del pronunciamiento a que se opone. Y aunque la práctica ha terminado por definir como voto particular al que se opone al fallo y como voto concurrente el que se opone a la argumentación, pero no al fallo, ambos son igualmente ilustrativos de la existencia de una diferencia de criterio en el Tribunal que resulta notable e insalvable, razón por la que no ha podido ser superada con la deliberación del texto finalmente aprobado por la mayoría. Ni uno, ni otro tipo de voto particular hacen perder eficacia al fallo, ni desmerecen su rigor. Pero cualquiera de los dos, con la misma importancia, son como decía Francisco Tomás y Valiente “una ventana abierta al exterior por la que el Tribunal hace públicas sus propias dudas”.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los votos particulares son relevantes siempre para poner de manifiesto esas dudas y para transmitir a la ciudadanía la idea de que, respecto de un determinado tema, existen otras soluciones jurídicas posibles y otras visiones técnicas igualmente válidas, cuando nos encontramos ante una sentencia interpretativa, como es aquí el caso, el voto particular que discrepa de la interpretación sostenida por la mayoría del Pleno es particularmente importante. Por tanto, respecto de la sentencia que resuelve el recurso de inconstitucionalidad planteado por un grupo de diputados y diputadas del Grupo Parlamentario Vox contra el artículo 2.10 y 19 de la Ley 8/2021, el presente voto particular es fundamental porque, a pesar de concordar en el fallo desestimatorio al entender que la norma impugnada no incurre en ninguna causa de inconstitucionalidad, discrepamos de la línea argumentativa principal que lleva a la mayoría a alcanzar ese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pronunciamiento del que disentimos opta por aplicar el principio de conservación de la ley, desestimando el recurso de inconstitucionalidad planteado. Asume, en la línea de una jurisprudencia que se remonta a la STC 4/1981, de 2 de febrero, que “siendo posibles dos interpretaciones de un precepto, una ajustada a la Constitución y la otra no conforme con ella, debe admitirse la primera” siempre que tales interpretaciones posibles sean igualmente razonables.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magistradas y el magistrado que firmamos el presente voto consideramos plenamente aplicable este principio de conservación de la norma, que se vincula con un escrupuloso respeto al legislador democrático. Pero también pensamos que la interpretación constitucional no se define en términos dicotómicos de constitucionalidad o inconstitucionalidad, sino que las aproximaciones que analizan el ajuste constitucional de una ley pueden ser distintas, y dependen del enfoque con el que se aborde el problema constitucional planteado. Dicho en otros términos, puede haber más de una interpretación constitucional de una ley y más de una aproximación distinta al juicio de inconstitucionalidad. La sentencia aprobada por la mayoría entiende que hay una interpretación constitucional de la norma impugnada y que solo esa interpretación permite salvar la constitucionalidad de la norma y llegar a un fallo desestimatorio del recurso. Pero, a nuestro juicio, existe otra forma de interpretar la norma sometida a examen que admite llegar al mismo fallo, pero desde una perspectiva de género, que la sentencia aprobada ignora completamente, obviando de este modo la razón que llevó al legislador a la aprobación del artículo segundo de la Ley 8/2021, de 2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posible ignorar que la norma impugnada surge en desarrollo del pacto de Estado contra la violencia de género de 2017. La sentencia lo asume en relación con el art. 156 CC cuando, en el primer fundamento jurídico, reconoce que el primer inciso del párrafo segundo de este precepto fue introducido por el Real Decreto-ley 9/2018, de 3 de agosto, de medidas urgentes para el desarrollo del pacto de Estado contra la violencia de género, retomando la Ley 8/2021 lo preceptuado en 2018 al contener una redacción completa del art. 156 CC. Sin entrar a las consecuencias que la sentencia extrae de ello respecto del objeto del recurso, lo que sí es posible observar es que, reconociendo la conexión entre el contenido material de la norma impugnada y el pacto de Estado, la argumentación de la sentencia obvia totalmente esa conexión de sentido y razona como si las medidas cuestionadas no tuvieran nada que ver con la protección de las madres de los niños y niñas víctimas de violencia de género. La sentencia elige una perspectiva de examen excluyente de la mujer, por más que cite el Convenio de Estambul en un par de ocasiones (Convenio del Consejo de Europa sobre prevención y lucha contra la violencia contra las mujeres y la violencia doméstica, hecho en Estambul el 11 de mayo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reforma legislativa objeto de examen de constitucionalidad en esta sentencia, se realizó con el objetivo de abordar una dimensión muy concreta de la violencia contra las mujeres (que denominaremos aquí, para no alterar la nomenclatura del pacto, como violencia de género). Y ello supone, como tantas veces sucedió en el pasado, privar de visibilidad a las mujeres que, siendo madres, viven situaciones de violencia ejercida por sus parejas o exparejas y padres al tiempo de sus hijos e hijas. La sentencia que nos ocupa construye toda la argumentación en torno a los hijos e hijas y a la relación con sus padres, sin introducir en la reflexión el elemento esencial que mediatiza esa relación y que es la violencia contra la mujer. El principio feminista de que “lo que no se nombra no existe”, es una exigencia universal que el feminismo particulariza para las mujeres e integra en su reivindicación de la igualdad como un elemento de importancia. Y, en esta sentencia, no se interioriza, por más que se cite el pacto de Estado. No se nombra la violencia contra la mujer. Y no se considera que las medidas controvertidas tienen por finalidad no solo la protección de los hijos e hijas que viven sometidos a situaciones de violencia directa o indirecta, sino la protección de sus madres que pueden sufrir, a través del trato que los padres dispensan a los menores, situaciones de violencia vicaria en distinto grado de intensidad.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estas razones, y las que a continuación se detallan, las magistradas y el magistrado que suscribimos el presente voto particular rechazamos la argumentación empleada por la mayoría, que da un significado a la dicción literal del precepto cuestionado que se aparta de toda lógica condicional, que ignora la perspectiva de género y que limita el alcance normativo del art. 94, párrafo cuarto, CC y del inciso segundo del art. 156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contexto que debía haber condicionado en la sentencia la interpretación de la norma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argumentación racional a la que debemos acudir para legitimar el uso del derecho exige en el siglo XXI que quien argumenta, en este caso el Tribunal Constitucional como intérprete del ordenamiento, asuma la condición de sujeto jurídico de las mujeres. Y ello va mucho más allá del uso de un lenguaje inclusivo en la norma y en su interpretación. Supone asumir que las disposiciones normativas tienen o pueden tener efectos diversos sobre las personas, en virtud del sexo de estas últimas.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la perspectiva de género en el examen de la constitucionalidad de los apartados décimo y decimonoveno del art. segundo de la Ley 8/2021, hubiera exigido analizar por qué y cómo las medidas cuestionadas afectan en particular (aunque no en exclusiva) a las relaciones de poder entre un padre y una madre que, encontrándose en una situación de violencia, tienen hijos o hijas en común con los que despliegan una relación propia que mediatiza la que tienen entre ellos como pareja o expareja.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incluso aunque no se hubiera aceptado y asumido este punto de partida interpretativo, el mero recurso a criterios de interpretación más clásicos también hubiera conducido, a nuestro juicio a la construcción de una argumentación distinta a la finalmente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poder desarrollar mejor esta idea consideramos necesario exponer los antecedentes legislativos y jurisprudenciales que preceden a la adopción de la Ley 8/2021 en el concreto aspecto que ahora nos interesa: el régimen de comunicación y visitas de los progenitores y los hijos e hijas menores en casos de ruptura de la relación conyugal (art. 94 CC) y las condiciones de ejercicio de la patria potestad (art. 156 CC) en contextos familiares en que alguno de los progenitores, en particular las madres, son víctimas de violencia por parte de sus parejas o exparejas y padres de los menores.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año 2004 se aprobó en el Parlamento, por unanimidad, la Ley Orgánica 1/2004 de medidas de protección integral contra la violencia de género (en adelante LOVG) Esta unanimidad permitió que se empezara a hablar, ya entonces, de una suerte de pacto de Estado implícito en relación con la lucha contra la violencia machista, cuya materialización explícita promoverán representantes de distintas formaciones parlamentarias a lo largo de varias legislaturas.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año 2012 se firma el Convenio de Estambul, y se aprueba la Directiva 2012/29/UE del Parlamento Europeo y del Consejo, de 25 de octubre de 2012, por la que se establecen normas mínimas sobre los derechos, el apoyo y la protección de las víctimas de delitos. Estas dos normas ponen de manifiesto que, hasta entonces, las disposiciones legales habían permanecido ajenas a las peculiaridades de la violencia ejercida sobre los hijos e hijas comunes en los supuestos de violencia machista. De hecho, solo a partir del año 2013 se empiezan a recoger en España estadísticas sobre los menores de edad víctimas mortales de violencia machista.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julio de 2013, se hizo público el anteproyecto de ley del Gobierno presidido por Mariano Rajoy, sobre el ejercicio de la corresponsabilidad parental en caso de nulidad, separación y divorcio. Este preveía introducir un nuevo art. 92 bis en el Código civil, en cuyo apartado quinto se decía categóricamente que “no procederá atribuir la guarda y custodia de los hijos, ni individual ni compartida, ni un régimen de estancia, relación y comunicación respecto de ellos, al progenitor que haya sido condenado penalmente por sentencia firme, por atentar contra la vida, la integridad física, la libertad, la integridad moral o la libertad e indemnidad sexual del otro cónyuge o de los hijos que convivan con ambos”. Y, además de prever la limitación de las relaciones parentales en caso de condena, también se establecía que no se le atribuiría la guarda y custodia, ni individual ni compartida, cuando el progenitor “estuviera incurso en un proceso penal iniciado por la presunta comisión de violencia doméstica, de género o de cualquiera de los atentados antes referidos, y se haya dictado resolución judicial motivada en la que se constaten indicios fundados y racionales de criminalidad”. Si bien este anteproyecto no tuvo seguimiento parlamentario, pone de manifiesto ya la existencia de una reflexión del legislador en relación con la necesidad de introducir cambios notables en el diseño de las relaciones paternofiliales en contextos de violencia machista.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momento, ya existía reflejo normativo de esta cuestión en la legislación foral o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el art. 236 apartado quinto de la Ley 25/2010, de 29 de julio, del libro segundo del Código civil de Cataluña, se establecía que la autoridad judicial puede denegar o suspender el derecho de los progenitores a tener relaciones personales con los hijos, así como puede variar sus modalidades de ejercicio, si incumplen sus deberes, si la relación puede perjudicar el interés de los hijos, o si existe justa causa, concurriendo esta siempre que los menores son víctimas directas o indirectas de violencia familiar o machista.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el art. 3 de la Ley Foral Navarra 3/2011, de 17 de marzo, sobre custodia de los hijos en los casos de ruptura de la convivencia de los padres, se limita al juez la posibilidad de atribuir la custodia compartida o individual cuando el progenitor esté incurso en un proceso penal iniciado por atentar contra la vida, la integridad física, la libertad, la integridad moral o la libertad e indemnidad sexual del otro progenitor. La norma dice expresamente que en estos casos “no procederá” la atribución de la guarda y custodia, que tampoco lo hará cuando el juez advierta, en las alegaciones de las partes y en las pruebas practicadas, la existencia de indicios fundados y racionales de violencia doméstica o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art. 80, apartado seis del Decreto Legislativo 1/2011, de 22 de marzo, del Gobierno de Aragón, determina que no cabe la atribución de la guarda y custodia, sea individual o sea compartida, al progenitor que “esté incurso en un proceso penal iniciado por atentar contra la vida, la integridad física, la libertad, la integridad moral o la libertad e indemnidad sexual del otro progenitor o de los hijos, y se haya dictado resolución judicial motivada en la que se constaten indicios fundados y racionales de criminalidad. Tampoco procederá cuando el juez advierta, de las alegaciones de las partes y las pruebas practicadas, la existencia de indicios fundados de violencia doméstica o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Un dictamen del Comité para la eliminación de la discriminación contra la mujer, fechado el 18 de julio de 2014, y condenatorio del Estado español (asunto Ángela González Carreño), recomienda a nuestro país “tomar medidas adecuadas y efectivas para que los antecedentes de violencia doméstica sean tenidos en cuenta en el momento de estipular los derechos de custodia y visita relativos a los hijos, y para que el ejercicio de los derechos de visita o custodia no ponga en peligro la seguridad de las víctimas de la violencia, incluidos los hijos”.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Tras ello, la Ley Orgánica 8/2015, de 22 de julio, de modificación del sistema de protección a la infancia y a la adolescencia, dio nueva redacción al art. 1.2 LOVG para reconocer expresamente que los menores también son víctimas de la violencia de género en el ámbito de las relaciones familiares. Lo mismo que había hecho previamente el art. 10 de la Ley 4/2015, de 27 de abril, del estatuto de la víctima del delito. También en el año 2015, se modifican por Ley Orgánica 1/2015, de 30 de marzo, los arts. arts. 153.2 y 173.2 del Código penal para formular la protección penal directa de las víctimas menores.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4/2015, de 27 de abril, modifica el art. 544 ter de la Ley de enjuiciamiento criminal, referido a las órdenes de protección de las víctimas de violencia de género, estableciendo en el apartado siete, en relación con las medidas cautelares de naturaleza civil, que “cuando existan menores o personas con capacidad judicialmente modificada que convivan con la víctima y dependan de ella, el juez deberá pronunciarse en todo caso, incluso de oficio, sobre la pertinencia de la adopción de las referidas medidas: Estas medidas podrán consistir en la atribución del uso y disfrute de la vivienda familiar, determinar el régimen de guarda y custodia, visitas, comunicación y estancia con los menores o personas con la capacidad judicialmente modificada, el régimen de prestación de alimentos, así como cualquier disposición que se considere oportuna a fin de apartarles de un peligro o de evitarles perjuicios”.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hace al régimen de relaciones parentales la disposición final 3 de la Ley Orgánica 8/2015, de 22 de julio, modifica los arts. 65 y 66 LOVG. En su primera redacción estos preveían que el órgano judicial pudiera suspender con carácter cautelar o definitivo el ejercicio de la patria potestad, la guarda y custodia, o el régimen de visitas por parte del inculpado por violencia de género, y respecto de los menores de él dependientes. La modificación de 2015 establece, reiterando las previsiones anteriores, que el órgano judicial podrá suspender para el inculpado por violencia de género el ejercicio de las facultades vinculadas a la responsabilidad parental respecto de los menores que dependan de él, pero añade además que si no adopta esta decisión deberá pronunciarse, en función del supuesto concreto, sobre la forma en la que se ejercerá la patria potestad, la guarda y custodia, el acogimiento, la tutela, la curatela o guarda de hecho, o el régimen de estancia, relación o comunicación de los menores que dependan de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En el art. art. 11 de la Ley del País Vasco 7/2015, de 30 de junio, de relaciones familiares en supuestos de separación o ruptura de los progenitores, que “no procede atribuir la guarda y custodia de los hijos e hijas, ni individual ni compartida, ni un régimen de estancia, relación y comunicación respecto de ellos y ellas, al progenitor que haya sido condenado penalmente por sentencia firme por un delito de violencia doméstica o de género por atentar contra la vida, la integridad física, la libertad, la integridad moral o la libertad e indemnidad sexual del otro miembro de la pareja o de los hijos e hijas que convivan con ambos hasta la extinción de la responsabilidad penal”. Y continúa, previendo un sistema de medidas cautelares coherente con la previsión que antecede: “En este sentido, los indicios fundados de la comisión de dichos delitos serán tenidos en cuenta por el juez como circunstancias relevantes a los efectos del establecimiento o modificación de las medidas previstas en esta ley en relación con dicho régimen, del mismo modo que lo podrá ser, en su caso, la resolución absolutoria que pudiera recaer posteriormente”.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Poco después, la sentencia de la Sala de lo Civil del Tribunal Supremo de 26 de noviembre de 2015 (recurso núm. 36-2015) fijó como doctrina jurisprudencial que el juez o tribunal podrá suspender el régimen de visitas del menor con el progenitor condenado por delito de maltrato a su cónyuge, al menor o a alguno de sus hermanos, valorando los factores de riesgo existentes.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 En la XII legislatura se aprueba por asentimiento una propuesta presentada a instancia de los grupos parlamentarios Popular en el Congreso, Socialista, Confederal de Unidos Podemos-En Comú Podem-En Marea, Ciudadanos, de Esquerra Republicana, Vasco (EAJ-PNV) y Mixto, de crear, en el seno de la Comisión de Igualdad, una subcomisión para estudiar la elaboración de un pacto de Estado en materia de violencia de género. La subcomisión será creada por el Pleno del Congreso en su sesión de 21 de diciembre de 2016 (“BOCG” de 30 de diciembre de 2016). El 28 de septiembre de 2017 se aprobaría el informe de la subcomisión por unanimidad del Pleno del Congreso de los Diputados, resultando de ese texto el pacto de Estado que firmaron los distintos grupos parlamentarios (entre los que todavía no se encontraba el de pertenencia de los recurrentes en el presente proceso constitucional), ratificándolo las comunidades autónomas y las entidades locales representadas en la Federación Española de Municipios y Provincias en diciembre del mismo 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eje cuarto del pacto se refiere a la intensificación de la asistencia y protección específica de los menores, lo que parte de su reconocimiento como víctimas directas y propone, entre otras cosas, la revisión de las medidas civiles relativas a la custodia de los menores, apuntando en la línea marcada por la legislación foral. En este marco, la medida 204 propone “establecer el carácter imperativo de la suspensión del régimen de visitas en todos los casos en los que el menor hubiera presenciado, sufrido o convivido con manifestaciones de violencia, sin perjuicio de adoptar medidas para impulsar la aplicación de los artículos 65 y 66 de la Ley Orgánica 1/2004”. Y, por su parte, la medida 207, propone “desvincular la intervención psicológica con menores expuestos a violencia de género del ejercicio de la patria potestad; en consecuencia, modificar el artículo 156 del Código civil para que la atención y asistencia psicológica quede fuera del catálogo de actos que requieren una decisión común en el ejercicio de la patria potestad, cuando exista sentencia firme o hubiera una causa penal en curso por malos tratos o abusos sexuales”. Resulta sencillo identificar que son estas dos medidas las que se llevan a los apartados 10 y 19 del artículo segundo de la Ley 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descripción previa, pone de manifiesto que la modificación normativa sometida a juicio de constitucionalidad surge en el contexto de un desarrollo legislativo y jurisprudencial que va atribuyendo una naturaleza propia y específica, pero siempre dentro de las medidas para atajar la violencia machista, a la violencia ejercida contra los hijos y las hijas de una pareja en la que también la madre sufre violencia. Sin perjuicio de que el alcance de la norma, tal y como ha quedado finalmente redactada, pueda ser más amplio, resulta claro que la finalidad de la progresión regulatoria pretende incrementar la protección de los menores y de sus madres, precisando de forma paulatina el alcance de las relaciones parentales en este contexto. Esa definición progresiva supone, por cuanto la norma avanza en concreción de la actividad jurisdiccional, un condicionante de esa actividad, que no tiene por qué ser considerado inconstitucional por el solo motivo de darse.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interpretación sobre el margen de actuación del órgano jurisdiccional en relación con el art. 94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el disenso en la argumentación tiene que ver con la ausencia de enfoque feminista en la sentencia del Pleno, esa discrepancia se acentúa en particular en relación con la interpretación conforme de constitucionalidad que se realiza respecto del art. 94 CC. La sentencia aprobada por el Pleno afirma que el art 94 CC, en la redacción dada por la Ley 8/2021 “no priva de modo automático al progenitor del régimen de visitas o estancias […] sino que atribuye a la autoridad judicial la decisión sobre el establecimiento o no de un régimen de visitas o estancias o la suspensión del mismo, incluso en los supuestos en los que un progenitor esté incurso en un proceso penal iniciado” por hechos calificables como violencia de género, o “cuando la autoridad judicial advierta, de las alegaciones de las partes y las pruebas practicadas, la existencia de indicios fundados de violencia doméstica o de género”. Por tanto, la sentencia sostiene que el margen de decisión del juzgador abarca la posibilidad de limitar las relaciones y derechos parentales o no hacerlo, en función de las circunstancias del caso, porque solo de este modo es posible asegurar el interés superior del menor. Resulta clarificadora de este argumento la afirmación de que “cuando está en juego el interés del menor debe huirse de decisiones regladas o uniformes incluso en aquellos supuestos especialmente graves y que deberán ser tenidos en cuenta en el momento de estipular los derechos de visita relativos a los hijos”.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interpretación, y el argumento en que se funda, esto es la garantía del interés superior del menor que se conecta con el art. 39 CE en los términos que describe adecuadamente la sentencia, esquiva y elude la dicción literal del precepto, e ignora que la evolución normativa descrita previamente tiende a reducir el margen de apreciación del órgano judicial para imponer progresivamente medidas más restrictivas del mantenimiento de las relaciones parentales, en aplicación de un principio de precaución y de protección que no es ajeno a la garantía del interés superior de los menores, buscando preservar además la integridad física y moral de sus madres. Y ello habida cuenta de que se constata, estadísticamente, la existencia de una innegable violencia vicaria, que utiliza el mal trato a los hijos como medida de presión y control de sus madres.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salvaguarda del principio de conservación de la norma, como se ha dicho en repetidas ocasiones por el Tribunal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(por todas STC 116/2017, FJ 3). A nuestro juicio, la interpretación realizada por la sentencia, no se corresponde con su sentido evidente. Y, su sentido evidente, tampoco entra en contradicción con ningún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94 CC, en la redacción sometida a examen dice que “no procederá el establecimiento de un régimen de visita o estancia, y si existiera se suspenderá, respecto del progenitor que esté incurso en un proceso penal iniciado por atentar contra la vida, la integridad física, la libertad, la integridad moral o la libertad e indemnidad sexual del otro cónyuge o sus hijos. Tampoco procederá cuando la autoridad judicial advierta, de las alegaciones de las partes y las pruebas practicadas, la existencia de indicios fundados de violencia doméstica o de género. No obstante, la autoridad judicial podrá establecer un régimen de visita, comunicación o estancia en resolución motivada en el interés superior del menor o en la voluntad, deseos y preferencias del mayor con discapacidad necesitado de apoyos y previa evaluación de la situación de la relación paternofilial”.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términos literales del precepto son claros. Cuando existan indicios fundados de que alguno de los progenitores ha incurrido en actos o conductas de violencia de género o violencia doméstica (lo que se presupone en caso de que exista un procedimiento penal iniciado que se dirija contra el mismo), la regla general será la suspensión del régimen de estancias, visitas y comunicaciones, y solo de manera excepcional podrá la autoridad judicial acordar tales estancias, visitas y comunicaciones, a través de una resolución judicial en que se justifique adecuadamente cuáles son las razones, basadas en el interés superior del menor, que motivan el apartamiento de la regla general, tras llevar a cabo una valoración adecuada de la relación paternofilial.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solo son claros, sino que son coherentes con la medida número. 204 del pacto de Estado contra la violencia de género, tal y como se recoge en el documento refundido de medidas de 13 de mayo de 2019. Y esta conexión resulta fundamental para identificar la voluntad del legislador al elaborar la norma, en la medida en que podemos vincular este punto del pacto de Estado con la medida número 144 del informe de la subcomisión para un pacto de Estado en materia de violencia de género. En las comparecencias que sirvieron de fundamento a las medidas incluidas en el informe se encuentran las razones que justifican la norma que ahora examinamos: (i) la protección de la vida, integridad física y psíquica y seguridad de las personas menores de edad frente a actos de violencia de género; (ii) la protección del libre desarrollo de la personalidad de las personas menores de edad, que se ve perturbada por la exposición a o convivencia con cualquier clase de violencia de género; (iii) evitar la perpetuación de este tipo de violencia a través de la reproducción, por parte de los hijos e hijas, de conductas a las que se hayan visto expuestos o con las que hayan tenido que convivir durante su minoría de edad; (iv) proteger a las mujeres y a las personas menores de edad bajo su cargo de la denominada violencia vicaria, esto es, —siguiendo en este punto la definición de la Ley Orgánica 1/2004 de medidas de protección integral contra la violencia de género (LOVG)— la violencia que con el objetivo de causar perjuicio o daño a las mujeres se ejerza sobre sus familiares o allegados menores de edad por parte de quienes sean o hayan sido sus cónyuges o de quienes estén o hayan estado ligados a ellas por relaciones similares de afectividad, aun sin convivencia.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voluntad del legislador, por tanto, no permanece ajena a la protección de la mujer. La conexión de la norma con el pacto de Estado resulta manifiesta. Y la literalidad de la disposición apunta a la existencia de una regla general, restrictiva de los derechos parentales de quien está incurso en un procedimiento por ejercer violencia machista, que puede admitir excepciones, pero que ha de ser taxativamente aplicada por el órgano judicial. Como bien afirma la sentencia en el FJ 3, ni el art. 39 CE, ni el art. 117.3 CE, ni el art. 24.1 CE, “vedan que el legislador pueda dictar una regulación general por la que determine la resolución que deba adoptarse, en relación con las estancias y visitas, en los procedimientos civiles y penales modulando de este modo la capacidad decisoria de los órganos judiciales”. Y el legislador opta, dentro de su margen constitucional de actuación y la libertad regulatoria que se le reconoce, por establecer una regla general a la definición del régimen de relaciones parentales en supuestos de violencia machista o de sospecha de que pudiera estarse dando violencia machista en el entorno familiar.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de la norma en el contexto temporal en el que se aprueba conduce a la misma conclusión. En el momento en que fue elaborado el informe de la subcomisión del Congreso ya se contemplaba específicamente en el artículo 66 LOVG, la posibilidad de suspensión del régimen de visitas, estancias y comunicaciones de los hijos e hijas menores de edad con el progenitor inculpado por violencia de género. Tras más de diez años de vigencia del precepto, su aplicación efectiva por los tribunales de justicia resultaba, sin embargo, claramente insuficiente atendiendo a los datos publicados por el Observatorio contra la violencia doméstica y del género del Consejo General del Poder Judicial. Pese a que el artículo 66 de la Ley Orgánica 1/2004 estaba plenamente en vigor desde el 28 de enero de 2005, los datos proporcionados por el Observatorio del Consejo General del Poder Judicial indicaban que durante el periodo correspondiente a los cuatro años precedentes a la elaboración y aprobación del informe de la subcomisión del Congreso, en aquellos casos en que se habían concedido bien orden de protección penal, bien medidas penales de protección de la víctima de violencia de género, solo se había acordado suspensión del régimen de visitas, estancias y comunicaciones con el progenitor incurso en tales procedimientos en un porcentaje inferior al 5 por 100 (3,17 por 100 en 2013; 3,32 por 100 en 2014; 3,78 por 100 en 2015, y 4,24 por 100 en 2016). En el año 2017, en que se llevaron a cabo las labores de las subcomisión creada en el Congreso de los Diputados, el porcentaje de suspensiones de régimen de visitas, estancias y comunicaciones con el progenitor incurso en proceso penal por violencia de género cayó a su cifra más baja en la serie histórica (2,9 por 100), coincidiendo con un repunte muy grave del número personas menores de edad víctimas mortales de la violencia vicaria (ocho menores, la cifra más alta en la serie histórica). Las cifras se mantienen en la misma línea después de la aprobación del pacto de Estado: 2,9 por 100 de suspensiones de régimen de visitas dentro del total de órdenes y medidas de protección concedidas a víctimas de violencia de género en 2018; 3,04 por 100 en 2019, y 3,01 por 100 en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Atendiendo a esta evolución de los datos resulta evidente que no bastaba con los instrumentos legales con que se contaba, hasta la entrada en vigor del precepto impugnado, para atender de manera real y efectiva a esta necesidad de protección. En este contexto, la necesidad de proteger a las personas menores de edad no solo de esta clase extrema de violencia de género, sino también de las consecuencias nocivas para su desarrollo físico, psíquico y emocional que derivan demostradamente de la convivencia con esta clase de violencia, apuntaban a la necesidad de modificar el régimen preexistente. Así se refleja en el informe de la subcomisión y en el pacto de Estado. Y así se traslada a la norma impugnada. El sentido de la reforma legislativa enjuiciada era transformar la excepción aplicativa hasta ese momento en la regla general para asegurar la adopción de medidas de limitación de las relaciones parentales en los casos de violencia de género, pudiendo mantenerse incólumes dichas relaciones allí donde el órgano judicial lo apreciase, motivadamente, oportuno.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del artículo 94, párrafo cuarto CC que realiza la sentencia aprobada por la mayoría dando a entender que no modula en modo alguno la discrecionalidad judicial a la hora de establecer regímenes de estancias, visitas y comunicaciones en casos de violencia de género o violencia doméstica, neutraliza por completo la finalidad que dicha norma está llamada a cumplir, y que ha justificado su incorporación al ordenamiento jurídico, y la convierte en completamente innecesaria, por cuanto no aportaría nada adicional en relación con la realidad jurídica preexistente. En otras palabras, el efecto de una interpretación del precepto como la que formula la sentencia aprobada por la mayoría equivaldría, a efectos prácticos, a una anulación del mismo consiguiente a su declaración de inconstitucionalidad, lo que constituye una clara contradicción entre la argumentación y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interés superior del menor entendido de forma completa y compatible con la protección de las mujeres frente a la violencia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la sentencia de que discrepamos pone el énfasis en la necesidad de preservar el interés superior del menor, parece situar dicho interés, de manera casi exclusiva, en el mantenimiento de sus relaciones familiares, amparadas por el artículo 39 CE y por la jurisprudencia del Tribunal Europeo de Derechos Humanos  que se cita en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norma sometida a control de constitucionalidad responde de manera directa al deseo y la necesidad de preservar el interés superior del menor, pero este interés no se enfoca tanto hacia la preservación de sus relaciones familiares como hacia la protección de las personas menores de edad de las graves y nocivas consecuencias que para su vida, integridad física y moral y para el libre desarrollo de su personalidad derivan de su exposición a conductas de violencia de género o violencia doméstica. Esta protección de la vida, integridad física y moral de las personas menores de edad, amparada no solo por el artículo 39 CE sino también por el derecho fundamental consagrado en el artículo 15 CE, y el deseo de garantizar el libre desarrollo de su personalidad en los términos que exige el artículo 10.1 CE, se sitúan claramente por el legislador por delante del mantenimiento de las relaciones familiares en aquellas situaciones de conflicto que exijan llevar a cabo un juicio de ponderación entre ambas manifestaciones del interés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opción legislativa encuentra, a nuestro juicio, pleno amparo constitucional no solo en la libertad de configuración del legislador y en el artículo 39 CE, profusamente analizados en la sentencia aprobada por la mayoría, sino también, y de manera prioritaria, en la protección de los derechos fundamentales a la vida e integridad física y moral de las personas menores de edad (art. 15 CE) y la garantía del libre desarrollo de su personalidad (art. 10.1 CE), que, como fundamento del orden político y la paz social, ha de inspirar la actuación de todos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como venimos reiterando, la sentencia omite por completo que junto a la finalidad esencial de preservar a las personas menores de edad de las graves y nocivas consecuencias que para su vida, integridad física y moral y su adecuado desarrollo tiene la exposición a conductas de violencia de género o violencia doméstica, el precepto está también orientado a proteger a las mujeres víctimas de la violencia de género de actos y conductas dirigidos a causarles daño a través de sus hijos e hijas menores de edad, en los términos expuestos por el artículo 1, apartado cuarto LOVG. Esta finalidad encontraría asimismo fundamento en el artículo 15 CE, además de en el artículo 39.2 del propio texto constitucional, que con absoluta claridad afirma que “[l]os poderes públicos aseguran la protección integral de los hijos […] y de las madres”.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opción resulta asimismo coherente con las obligaciones asumidas por el Estado español a través de los tratados internacionales válidamente ratificados por el mismo, en particular el Convenio del Consejo de Europa sobre prevención y lucha contra la violencia contra las mujeres y la violencia doméstica, hecho en Estambul el 11 de mayo de 2011, cuyo artículo 31, apartado segundo, expresamente dispone que “[l]as partes tomarán las medidas legislativas u otras necesarias para que el ejercicio de ningún derecho de visita o custodia ponga en peligro los derechos y la seguridad de la víctima y de los niños”.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deliberada omisión en la sentencia de toda referencia a la violencia de género en general y a la violencia vicaria en particular constituye una auténtica invisibilización de estas realidades desgraciadamente presentes de manera notoria en nuestra sociedad, invisibilización que resulta particularmente incomprensible en lo que se refiere a la violencia vicaria, que claramente se sitúa en el origen y fundamento del precepto examinado, y que se ha cobrado ya la vida de cuarenta y siete niños y niñas desde el año 2013, en que comenzaron a recopilarse datos relativos a esta particular clase de violencia. La invisibilización de la violencia de género, que constituye la manifestación más grave de la desigualdad entre mujeres y hombres supone también ignorar por completo que el principio de igualdad entre mujeres y hombres, como regla hermenéutica general, ha de integrarse y observarse en la interpretación y aplicación de las normas jurídicas (art. 4 de la Ley Orgánica 3/2007 para la igualdad efectiva de mujeres y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septiembre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