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26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548-2021, promovido por don Antonio Hijazo García, representado por la procuradora de los tribunales doña Valentina López Valero y asistida por el letrado don Rafael Goiría González, frente a: (i) la sentencia del Juzgado de lo Social núm. 4 de Zaragoza, de 12 de febrero de 2018 (autos sobre Seguridad Social núm. 459-2017); (ii) la sentencia de la Sala de lo Social del Tribunal Superior de Justicia de Aragón, de 23 de mayo de 2018, que desestima el recurso de suplicación núm. 257-2018 interpuesto por el demandante contra la anterior resolución, y (iii) la sentencia de la Sala de lo Social del Tribunal Supremo, de 2 de diciembre de 2020, que desestima el recurso de casación para la unificación de doctrina núm. 2916-2018 interpuesto contra la anterior resolución.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29 de enero de 2021, la procuradora de los tribunales doña Valentina López Valero, en nombre y representación de don Antonio Hijazo García, interpuso recurso de amparo contra las disposiciones identificadas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que a continuación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Antonio Hijazo García (en adelante, recurrente en amparo), nacido el 15 de junio de 1956, ejerció su profesión como vendedor de cupones para la Organización Nacional de Ciegos Españoles (ONCE) desde el 9 de mayo de 1988. Por resolución del Instituto Nacional de la Seguridad Social (INSS) de 21 de julio de 1988 se le reconoció un porcentaje de minusvalía del 85 por 100 al padecer retinitis pigmentaria.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8 de julio de 2010 se produjo su jubilación anticipada por discapacidad a la edad de cincuenta y cuatro años, conforme a lo dispuesto en el art. 206.2 del texto refundido de la Ley general de la Seguridad Social, aprobado por el Real Decreto Legislativo 8/2015, de 30 de octubre (LGSS), en conexión con el Real Decreto 1539/2003, de 5 de diciembre, por el que se establecen coeficientes reductores de la edad de jubilación a favor de los trabajadores que acreditan un grado importante de minusvalía. Desde tal situación de jubilación anticipada (a la edad de sesenta años), solicitó del INSS el reconocimiento de gran invalidez o, subsidiariamente, de incapacidad permanente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informe del equipo de valoración de incapacidades de la Dirección Provincial del INSS, de 15 de marzo de 2017, se determinó como juicio diagnóstico “retinosis pigmentaria. Glaucoma”, y como limitaciones orgánicas y funcionales las siguientes: “Limitación severa visual de años de evolución por retinitis pigmentaria desde la infancia”. Como conclusiones se especificó: “Jubilado en 2010 solicita IP [incapacidad permanente] por patología de años de evolución (afiliación a la ONCE en 1988, referencia del paciente de severa limitación a los veinte años y total desde hace unos diez años). Durante estos años ha estado realizando actividad laboral en la ONCE”.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21 de marzo de 2017, el equipo de valoración de incapacidades emitió dictamen proponiendo la no calificación del recurrente como incapacitado permanente “por no presentar reducciones anatómicas o funcionales que disminuyen o anulen su capacidad laboral”, haciendo constar que las lesiones eras “originarias a la afiliación”, el 1 de julio de 1988, en la ONCE.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resolución del INSS, de 24 de marzo del 2017, se le denegó al recurrente su solicitud por no hallarse en situación de alta o asimilada al alta en la Seguridad Social en la fecha del hecho causante de la prestación, de acuerdo con lo establecido en el art. 165.1 LGSS y, consideradas las lesiones y sintomatología, por no concurrir ninguno de los grados de discapacidad previstos en el art. 195.4 de la mencionada ley, ni suponer un cambio en su capacidad laboral respecto a la fecha 1 de julio de 1988, de alta de su actividad laboral en la ONCE, según lo dispuesto en el art. 193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18 de abril de 2017, el recurrente presentó reclamación administrativa previa, que fue desestimada por el INSS con fecha de 9 de mayo de 2017, al apreciarse que el estado del interesado, en relación con su capacidad laboral, había sido correctamente valorado por el equipo de valoración de incapacidades, de acuerdo con lo preceptuado en el art. 174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anterior resolución el recurrente en amparo interpuso demanda ante la jurisdicción social, en la que alegó que su agudeza visual era de cero en ambos ojos y que, conforme a consolidada jurisprudencia, su situación era merecedora de ser declarada como afecta de gran invalidez; que había que estarse, no a la fecha de inicio de la prestación de servicios en la ONCE, sino a la fecha de alta en el sistema de Seguridad Social (8 de marzo de 1973) y, en fin, por lo que se refería a su situación de jubilación, invocó la sentencia del Tribunal Superior de Justicia de Madrid de 29 de septiembre de 2017, sobre la inexistencia de obstáculo para ser beneficiario de la pensión de incapacidad permanente absoluta o gran invalidez cuando el interesado no se halle en situación de alta o asimilada al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demanda, que dio lugar a los autos núm. 30-2018 seguidos ante el Juzgado de lo Social núm. 4 de Zaragoza, fue desestimada por medio de sentencia de 12 de febrero de 2018, sobre la base de que en los casos de jubilación anticipada por discapacidad (art. 206 LGSS) la edad ordinaria de jubilación que hay que tener en cuenta como límite para el reconocimiento de la incapacidad permanente no es la de sesenta y cinco años (prevista en el art. 205.1 LGSS) sino la edad reducida, de conformidad con lo previsto en el art. 206 LGSS para los casos de discapacidad. A mayor abundamiento, se rechazó la aplicación de la doctrina del paréntesis y se consideró no acreditado que el actor hubiera sufrido una agravación en su estado desde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anterior resolución, el recurrente en amparo interpuso recurso de suplicación, que fue desestimado por medio de sentencia de la Sala de lo Social del Tribunal Superior de Justicia de Aragón, de 23 de mayo de 2018. De conformidad con lo mantenido en la instancia, la Sala apreció que la jubilación por discapacidad supone la reducción de la “edad de acceso a la pensión de jubilación” debido al mayor esfuerzo y penosidad que ocasiona para un trabajador con discapacidad la realización de una actividad profesional. Es decir, no es que se acceda en tales casos a una pensión de jubilación reducida por el anticipo de la edad de jubilación (como ocurre en la jubilación “anticipada” prevista en los arts. 207 y 208 LGSS), sino que la edad mínima de acceso a la pensión ordinaria de jubilación se ve reducida por aplicación de unos coeficientes correctores que tienen como fundamento la discapacidad de la persona beneficiaria. A la vista de ello, cuando el recurrente solicitó el reconocimiento de la gran invalidez ya había alcanzado la edad de jubilación, lo que le impedía ser beneficiario de la prestación por incapacidad permanente, que requiere no haber alcanzado la edad de jubilación conforme al art. 195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recurrente en amparo interpuso frente a la anterior sentencia recurso de casación para unificación de doctrina (núm. 2916-2018), que fue desestimado por sentencia de la Sala de lo Social del Tribunal Supremo, de 2 de diciembre de 2020, que confirmó lo decidido en la resolución recurrida al apreciar que no se puede acceder a la situación de incapacidad permanente en el grado de gran invalidez desde la situación de jubilación por discapacidad del art. 206.2 LGSS, conforme a lo establecido por el Pleno de esa Sala en sentencias de 24 y 29 de junio y 1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identificar las resoluciones judiciales impugnadas y recoger los antecedentes fácticos del caso, fundamenta el recurso en los argumentos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se jubiló anticipadamente con motivo de su discapacidad dado el esfuerzo y penosidad que supone la realización de un trabajo con una capacidad visual muy reducida. En efecto, la norma que disciplina el acceso a las prestaciones de incapacidad permanente (art. 195.1 LGSS) y la jurisprudencia elaborada en aplicación de esta norma habían venido admitiendo el acceso a la prestación por incapacidad permanente de las personas que se encontraban en situación de jubilación anticipada, sin hacer distinción alguna respecto a las distintas modalidades de jubilación anticipada. A pesar de ello, las resoluciones impugnadas consideraron que no existe impedimento alguno para reconocer la incapacidad permanente a una persona jubilada anticipadamente salvo que se trate de una persona con discapacidad. Por lo tanto, sin que exista ninguna razón objetiva que justifique tal interpretación, se produce una discriminación por discapacidad proscrita por el artículo 14 de la Constitución, los arts. 4.2 c) y 17.1 del Estatuto de los trabajadores y la Convención de las Naciones Unidas sobre los derechos de las personas con discapacidad, de 13 de diciembre de 2006 (en concreto, sus arts. 3, 19 y 25). La demanda, asimismo, cita la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recogen las consideraciones jurídicas contenidas en el voto particular formulado a la sentencia del Tribunal Supremo, Sala de lo Social (Pleno), de 24 de junio de 2020 (recurso de casación para unificación de doctrina núm. 1411-2018), haciendo suyos, la parte recurrente, los argumentos en ella expuestos. Se recogen, después, diversas resoluciones judiciales que han mantenido el criterio sostenido por la parte recurrente, destacando la fundamentación de la sentencia del Tribunal Superior de Justicia de La Rioja, de 23 de noviembre de 2018 (recurso núm. 208-2018). Y en el sentido mantenido en tales resoluciones se señala que admitir el criterio contenido en las sentencias impugnadas supondría dar un trato diferente a quienes por razón de discapacidad acceden anticipadamente a la jubilación, frente al resto de trabajadores que se hallan en igual situación pero por distinta causa, a través de una interpretación extensiva de la norma que conculca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la demanda recuerda la jurisprudencia de este tribunal sobre el derecho a la igualdad, con reseña de la doctrina contenida en las SSTC 253/2004, 117/2011, 149/2017 y 91/2019; así como sobre el principio de no discriminación, recogida en las SSTC 69/1991 y 126/1997, entre otras. Más en concreto, en relación con la circunstancia personal de la discapacidad, cita las SSTC 269/1994 y 10/2014, que expresamente reconocen esta situación como englobada en el objeto de protección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los efectos de lo dispuesto en los arts. 49.1 y 50.1 b) de la Ley Orgánica del Tribunal Constitucional (LOTC), la demanda justifica la especial trascendencia constitucional del recurso porque plantea “un problema o una faceta de un derecho fundamental sobre el que no hay doctrina de este tribunal” [STC 155/2009, FJ 2 a)]. Además, la demanda también señala que actualmente se está tratando desigual, en supuestos absolutamente idénticos, a los demandantes según la comunidad autónoma a la que pertenezca el órgano judicial que resuelva.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 de febrero de 2021, la secretaría de justicia de la Sala Primera tuvo por recibido el escrito y documentos adjuntos interponiendo recurso de amparo en nombre y representación de don Antonio Hijazo García, y de conformidad con el art. 49.4 LOTC, concedió a esa parte un plazo de diez días para que acreditase fehacientemente la fecha de notificación de la sentencia de la Sala de lo Social del Tribunal Supremo impugnada, con advertencia de que, de no procederse a la subsanación requerida, se acordaría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providencia de 31 de mayo de 2021, la Sección Primera de la Sala Primera de este tribunal acordó admitir a trámite el recurso de amparo apreciando que en el mismo concurre una especial trascendencia constitucional (art. 50.1 LOTC), porque el recurso “plantea un problema o faceta de un derecho fundamental sobre el que no hay doctrina de este tribunal [STC 155/2009, FJ 2 a)] , y,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remitir atenta comunicación a las Salas de lo Social del Tribunal Supremo y del Tribunal Superior de Justicia de Aragón, así como al Juzgado de lo Social núm. 4 de Zaragoza, a fin de que, en el plazo de diez días, remitieran certificación o fotocopia adverada de las actuaciones correspondientes al recurso de casación para la unificación de doctrina núm. 2916-2018, del recurso de suplicación núm. 257-2018, y de los autos núm. 459-2017, respectivamente. Del mismo modo, se ordenaba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junio de 2021 tuvo entrada en el registro de este tribunal escrito presentado por la letrada de la administración de la Seguridad Social, en nombre y representación del INSS, solicitando que se le tuviera por comparecida y parte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30 de junio de 2021, la secretaría de justicia de la Sala Primera tuvo por personado y parte en el procedimiento a la letrada de la administración de la Seguridad Social, en nombre y representación del INSS, acordándose entender con ella las sucesivas actuaciones. Asimismo, de conformidad con lo dispuesto en el art. 52.1 LOTC, se dispuso dar vista de las mismas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julio de 2021 la representación de la parte recurrente en amparo presentó su escrito de alegaciones en el que, además de reiterar los argumentos ya expuestos en la demanda y ratificarse en ellos, añadió una mención del Real Decreto Legislativo 1/2013, de 29 de noviembre, por el que se aprueba el texto refundido de la Ley general de derechos de las personas con discapacidad y de su inclusión social; de la doctrina del Tribunal Europeo de Derechos Humanos que considera aplicable al caso y, por último, de la Convención internacional sobre los derechos de las personas con discapacidad de 2006, como fuente interpretativa de la Directiva 2000/78/CE, en particular, en lo relativo al derecho a la no discriminación por razón de la discapacidad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22 de septiembre de 2021, tuvo entrada en el registro de este tribunal el escrito de alegaciones del Ministerio Fiscal. Después de hacer detallada mención de los antecedentes del caso, así como de la legislación aplicable, precisa que, aunque la parte denuncia formalmente tanto la infracción del derecho a la igualdad y no discriminación (art. 14 CE), como del derecho a la tutela judicial efectiva (art. 24.1 CE), en realidad solo solicita la nulidad de las sentencias por la primera de las infracciones, que es en la que centra todo su esfuerzo argumentativo. A la vista de ello, se indica que el objeto de enjuiciamiento ha de limitarse a la eventual infracción del primero de los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esto, y antes de entrar en el examen de la vulneración del mencionado precepto constitucional, el fiscal pone de manifiesto que existe en el caso de autos un óbice procesal que debería conducir a la inadmisión del recurso por cuanto no se ha cumplido la exigencia de la invocación previa [art. 44.1 c) LOTC]. Se señala al respecto que ya desde el dictado de la primera sentencia (la de instancia) se habría producido la infracción denunciada en el recurso de amparo y que, sin embargo, en el recurso de suplicación no se mencionó la violación del derecho a la igualdad, ni la existencia de discriminación, ni el art. 14 CE, justificando la parte solamente su reclamación en la incorrecta interpretación de la ley, con apoyo de sentencias dictadas en la jurisdicción ordinaria. Sí habría sido objeto del recurso de suplicación, sin embargo, lo que constituye el centro de debate de la demanda de amparo, esto es, si se puede negar el derecho a la prestación de gran invalidez o incapacidad permanente por razón de que la jubilación anticipada obedezca a la discapacidad del sujeto. En suma, los órganos judiciales se habrían pronunciado sobre tal cuestión, pero al haberse alegado por la parte solamente motivos de legalidad ordinaria (error en la interpretación de las normas de la Ley general de la Seguridad Social, sin referencia alguna a la Constitución y con apoyo en argumentos de sentencias del Tribunal Superior de Justicia y del Tribunal Supremo), solo lo habrían hecho desde el plano de la legalidad y no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rechazarse tal causa de inadmisión a trámite, el fiscal informa también sobre el fondo del asunto y tras analizar la normativa aplicable señala que la interpretación a la que llegan las sentencias impugnadas produce un trato desigual perjudicial de las personas con discapacidad respecto del colectivo ordinario de trabajadores, que pueden acceder a la incapacidad permanente o gran invalidez aunque estén jubilados anticipadamente, siempre que no hayan alcanzado los sesenta y siete o sesenta y cinco años en los términos establecidos en el art. 205.1 a) y la disposición transitoria séptima LGSS. Subraya, en tal sentido, que la normativa aplicable permite una interpretación no perjudicial para las personas con discapacidad y que de ella no puede derivarse el establecimiento de una diferencia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26 de julio de 2021, la letrada de la administración de la Seguridad Social, en representación del INSS, presentó escrito de alegaciones en el registro de este tribunal solicitando la desestimación del recurso de amparo. En primer lugar, asume como hechos los recogidos en la sentencia del Tribunal Supremo ahora impugnada. En segundo término, se hace un análisis de la legislación aplicable (arts. 195, 205 y 206 LGSS, y Reales Decretos 1539/2003, de 5 de diciembre, y 1851/2009, de 4 de diciembre), así como de la doctrina de este tribunal sobre los derechos a la tutela judicial efectiva (STC 61/2021) y a la igualdad y no discriminación (STC 91/2019). Expuesto lo anterior, la representación del INSS aborda la cuestión de fondo, negando, en primer lugar, la infracción del derecho a la tutela judicial efectiva (art. 24 CE) al ser la sentencia recurrida una resolución motivada y fundada en Derecho; en segundo lugar, la vulneración del art. 14 CE, en tanto que la situación de los trabajadores con discapacidad no es comparable, a efectos de acceso a la pensión de incapacidad permanente con anterioridad a la edad ordinaria de jubilación, con la situación del resto de trabajadores. Las diversas modalidades de jubilación tienen elementos comunes (como la edad de jubilación) que, a su vez, se configuran de formas diferentes. En esta línea, reitera la argumentación desarrollada en la sentencia impugnada del Tribunal Supremo, subrayando que la jubilación ordinaria no es solo la que establece el art. 205 LGSS sino que, junto a ella, hay otras que merecen igual calificativo, al constituirse como jubilaciones propias y autónomas, como son las del art. 206 LGSS, sin coste en la protección y con una edad de acceso rebajada que se constituye en edad de jubilación ordinaria para el colectivo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septiembre de 2022, se señaló para deliberación y fallo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recogido más ampliamente en los antecedentes, el recurrente en amparo, trabajador de la Organización Nacional de Ciegos de España, se jubiló anticipadamente a los cincuenta y cuatro años por razón de su discapacidad [en aplicación del entonces vigente art. 206.2 —en la actualidad art. 206 bis— del texto refundido de la Ley general de la Seguridad Social, aprobado por el Real Decreto Legislativo 8/2015, de 30 de octubre (LGSS), en conexión con el Real Decreto 1539/2003, de 5 de diciembre, por el que se establecen coeficientes reductores de la edad de jubilación a favor de los trabajadores que acreditan un grado importante de minusvalía]. Desde tal situación de jubilación anticipada solicitó el reconocimiento de la prestación de gran invalidez —subsidiariamente, incapacidad permanente absoluta—, que conforme al art. 195.1 LGSS exige no haber alcanzado “la edad prevista en el art. 205.1 a) LGSS” para acceder a la jubilación (esto es, sesenta y siete o, en función del tiempo cotizado, sesenta y cinco años). Denegada su solicitud en vía administrativa, presentó demanda en la vía judicial, siendo desestimada su pretensión al considerarse que en los casos de jubilación anticipada por discapacidad, la edad ordinaria de jubilación que ha de tenerse en cuenta como límite para el reconocimiento de la incapacidad permanente no es la prevista en el citado art. 205.1 LGSS, al que remite el art. 195.1 LGSS, sino la edad de jubilación reducida por aplicación de los coeficientes establecidos para personas con discapacidad, a tenor de lo dispuesto en el art. 206.2 LGSS y Real decreto 1539/2003 citado. A la vista de ello, se concluyó que cuando el recurrente solicitó el reconocimiento de la gran invalidez (a los sesenta años) ya había alcanzado la edad de jubilación (la edad rebajada para ese específico colectivo) lo que le impedía ser beneficiario de la prestación de incapacidad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que antecede, el objeto de este recurso consiste en determinar si, como sostiene el recurrente en amparo, la interpretación de la legalidad llevada a cabo por las sentencias impugnadas vulnera el derecho a la no discriminación por razón de discapacidad (art. 14 CE) al negar el acceso a la prestación de gran invalidez o de incapacidad permanente absoluta desde la situación de jubilación anticipada solo en los casos en los que esta última afecta a las personas con discapacidad. Hay que precisar que, aunque también se afirma en la demanda la infracción del derecho a la tutela judicial efectiva (art. 24.1 CE), no se invoca como motivo autónomo ni se cumple con la exigida carga argumental, constituyendo una queja que ha de quedar fuera de nuestro enjuiciamiento al ser meramente formal e instrumental de la que constituye el núcleo central del recurso, esto es, la alegada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INSS interesa la desestimación del recurso, mostrando su expresa conformidad con la interpretación que, en el caso de autos, los órganos judiciales han realizado de la normativa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propone la inadmisión del recurso por incumplimiento del requisito de invocación previa [art. 44.1 c) LOTC]; respecto al fondo, interesa la estimación del recurso en tanto que la interpretación judicial discutida supondría una discriminación por discapacidad contraria al art. 14 CE, al establecer una distinción no prevista legalmente, que perjudica sin razón objetiva alguna a un colectivo especialmente protegido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las anteriores precisiones, debemos comenzar examinando el óbice procesal planteado por el fiscal, quien sostiene la inadmisibilidad del recurso por falta de invocación en la vía judicial [art. 44.1 c) LOTC] de la vulneración del derecho a la igualdad y a la no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manifestado en reiteradas ocasiones, los defectos insubsanables de que pudiera estar afectado el recurso de amparo no resultan subsanados porque haya sido inicialmente admitido a trámite,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53/1983, de 20 de junio, FJ 2, y 52/2022, de 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tener en cuenta que, si bien la invocación formal exigida por el art. 44.1 c) LOTC no supone, necesaria e inexcusablemente, la cita concreta y numérica del precepto de la Constitución en el que se proclaman el derecho o derechos supuestamente vulnerados (ni siquiera la mención de su nomen iuris), tal invocación ha de efectuarse de manera que se cumpla la finalidad perseguida con aquel requisito, ofreciendo base suficiente para que en la vía judicial pueda entrarse a conocer de las concretas vulneraciones que después puedan ser aducidas en el recurso de amparo (SSTC 53/2012, de 29 de marzo, FJ 2, y 117/2014,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como señala el fiscal, la parte recurrente no alegó expresamente la infracción del art. 14 CE, lo cierto es que la controversia jurídica planteada en esta demanda de amparo coincide (como también advierte el fiscal) con lo que ha sido objeto de debate en la vía judicial, esto es, si la situación de jubilación anticipada puede justificar la denegación de las prestaciones de incapacidad permanente reclamadas tan solo en los casos en que aquella se produzca por discapacidad. En suma, los órganos judiciales han tenido la oportunidad de pronunciarse sobre la eventual infracción constitucional que ahora se aduce (discriminación por motivos de discapacidad) y, en su caso, repararla, lo que ha de conducir a rechazar el óbice procesal de falta de invocación previa [art. 44.1 c) LOTC] alegado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establecida por la STC 172/2021,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ha sido ya resuelta por el Pleno de este tribunal en la STC 172/2021, de 7 de octubre (aplicada en las posteriores SSTC 191 y 192/2021, de 17 de diciembre; 5/2022, de 24 de enero, y 52/2022, de 4 de abril). En esa sentencia concluimos que el legislador, en el ejercicio legítimo de su libertad de configuración del sistema, no ha establecido otro requisito que el de una determinada edad para acceder a la prestación de incapacidad permanente [art. 195.1 párrafo segundo LGSS, por remisión al art. 205.1 a) LGSS], de forma que no impide su acceso desde una situación de jubilación anticipada, ni distingue entre las causas o presupuestos de ese tipo de jubilación para acceder a la incapacidad permanente. Por lo tanto, si la ley no hace distinción alguna en esta materia, el establecimiento de una diferencia de trato para los supuestos de jubilación anticipada por razón de discapacidad supone una discriminación proscrita por el principio general reconocido en el art. 14, segundo inciso, CE, habida cuenta que no se aprecia la existencia de un motivo objetivo y razonable que justifique la distinción entre las diversas situaciones de jubilación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conforme al criterio judicial interpretativo aplicado en las resoluciones recurridas, “toda persona que se encuentre en situación de jubilación anticipada podría acceder a una prestación por incapacidad permanente, salvo las personas con discapacidad, a pesar de cumplir el único requisito exigido por la normativa, que es una determinada edad. Se genera con ello una diferencia de trato no prevista en la norma, sin justificación objetiva y razonable, derivada exclusivamente del hecho de haber accedido a una situación de jubilación anticipada precisamente por su situación de discapacidad”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Otorgamiento del amparo y alcance de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dicho pronunciamiento resulta procedente la estimación de este recurso de amparo por vulneración del derecho a no sufrir discriminación por razón de discapacidad (art. 14 CE). La estimación del amparo lleva consigo la anulación de todas las resoluciones judiciales impugnadas con la retroacción de las actuaciones al momento inmediatamente anterior al dictado de la sentencia de instancia, para que el juzgado de lo social dicte una resolución respetuosa con el mencionado derecho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Antonio Hijazo García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no sufrir discriminación por razón de discapacidad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anular la sentencia del Juzgado de lo Social núm. 4 de Zaragoza, de 12 de febrero de 2018 (autos de Seguridad Social núm. 459-2017); la sentencia de la Sala de lo Social del Tribunal Superior de Justicia de Aragón, de 23 de mayo de 2018 (recurso de suplicación núm. 257-2018), y la sentencia de la Sala de lo Social del Tribunal Supremo, de 2 de diciembre de 2020 (recurso de casación para la unificación de doctrina núm. 2916-2018).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inmediatamente anterior al pronunciamiento de la primera de las resoluciones anuladas a fin de que se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548-2021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fallo de la sentencia recaída en el recurso de amparo núm. 548-2021, que ha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idénticas a las expresadas en el voto particular que suscribí a la STC 172/2021, de 7 de octubre, en la que se resolvió el recurso de amparo cabecera de esta misma serie, por lo que me remito a lo expuesto entonces.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septiembre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