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4549-2022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4549-2022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medida cautelar solicitada y, en consecuencia, suspender la ejecución de la pena de seis meses de prisión impuesta al recurrente, mientras se tramita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junio de 2022, tuvo entrada en el registro general de este Tribunal Constitucional un escrito del ahora recurrente, don Pablo López Maestre, abogado en ejercicio, actuando en defensa de derechos e intereses propios, por el que interpuso recurso de amparo formalmente dirigido contra el auto núm. 249/2022, de 29 de marzo, de la Sección Tercera de la Audiencia Provincial de Córdoba, que desestimó el recurso de apelación interpuesto contra el auto de 20 de octubre de 2021, también impugnado, del Juzgado de lo Penal núm. 2 de Córdoba, que acordó la revocación de la suspensión de la ejecución de la pena de prisión impuesta al recurrente por un delito de abandono de familia, en su modalidad de impago de pensiones.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tal y como se deducen de la demanda y de la documentación hasta ahora aportada,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fue condenado en sentencia de fecha 9 de marzo de 2018, dictada por el Juzgado de lo Penal núm. 2 de Córdoba, como autor de un delito de abandono de familia, en su modalidad de impago de pensiones [art. 227 del Código penal (CP)], a la pena de seis meses de prisión y al abono de 10 080,16 € en concepto de responsabilidad civil. Esta sentencia fue declarada firme en fecha 7 de septiembre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11 de septiembre de 2020, el juzgado acordó conceder la suspensión de la ejecución de la pena de prisión, bajo la condición de que se abonara en diez días la cantidad de 2000 € y, a continuación, 336 € mensuales hasta el pago final de la responsabilidad civil fijada en sentencia. Esta resolución devino firme, tras los recursos correspondientes.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20 de octubre de 2021, el Juzgado de lo Penal núm. 2 de Córdoba acuerda la revocación de la suspensión de la ejecución anteriormente concedida. El fundamento jurídico único de esa resolución concreta el motivo de la decisión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“Único: El artículo 86.1 b) establece que el juez revocará la suspensión y ordenará la ejecución de la pena cuando el penado incumpla de forma grave o reiterada las prohibiciones o deberes que se le hubieran impuesto conforme al art. 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supuesto el penado ha incumplido el compromiso de satisfacer la responsabilidad civil por lo que habiendo incumplido una de las condiciones principales para acceder a la suspensión de la pena procede revocar el beneficio con pérdida del aplazamiento dada la entidad de la pena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ahora demandante interpuso recurso de apelación contra el citado auto, argumentando, en esencia, que no procedía revocar la suspensión por incumplimiento de las prohibiciones o deberes impuestos conforme a los arts. 86.1 b) y 83 CP, ya que no se había fijado ninguna de estas prohibiciones o deberes, por lo que no se puede incumplir lo que no se había exigido.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Sección Tercera de la Audiencia Provincial de Córdoba, en su auto núm. 249/2022, de 29 de marzo, desestimó el recurso de apelación. El motivo central de esta decisión se concreta en los fundamentos jurídicos segundo y cuarto, cuyo tenor literal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La resolución establece como motivo para la revocación, el haber sido condenado durante el periodo de remisión condicional del plazo de dos años establecidos en el auto de fecha 11 de septiembre de 2020. Efectivamente, con posterioridad volvía cometer un delito de abandono de familia, por lo que el juzgado de lo penal, con buen criterio, adoptó la resolución que es ahora motivo del recurso y que necesariamente debe ser confirmada.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En el presente caso, es evidente que la revocación de la suspensión acordada, resulta necesaria para la evitación de la comisión de nuevos delitos, al no haber evitado dicha suspensión que el condenado delinquiera más tarde en el mismo delito, sin que afronte el pago de la responsabilidad civil, que como condición se le impuso para evitar el cumplimiento de la pena de seis meses de prisión, por lo que la expectativa, en que pudiera fundarse la suspensión acordada, ya no puede ser mantenida”.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Ante esta resolución, el demandante promovió un incidente de nulidad de actuaciones que fue rechazado por la audiencia provincial en un auto de 31 de mayo de 2022, y que, de los términos en que ha sido planteada la demanda, se debe entender también impugnado, en cuanto que no habría reparado las vulneraciones alegadas. En esta resolución, se expone literalmente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“Único.- El incidente de nulidad planteado al amparo del núm. 4 del art. 86 del Código penal, y a la luz de la doctrina constitucional al respecto establecido en sentencia de 7 de marzo [sic], debería ser planteado ante el juzgado de lo penal, ya que no es propio del rollo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diligencia de ordenación de 14 de julio de 2022, se acordó recabar la hoja histórico penal del recurrente, en la que no consta que este hubiera delinquido durante el plazo de suspensión de la ejecución de la pena, en su día concedida.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han vulnerado los derechos a la libertad (art. 17 CE) y a la tutela judicial efectiva sin indefensión (art. 24.1 CE), así como los derechos a un proceso con todas las garantías y a la presunción de inocencia (art. 24.2 CE). Más en concreto, atribuye al auto del juzgado de lo penal el quebranto del derecho a obtener una resolución motivada y fundada en Derecho, aludiendo a su carácter irracional por error patente; mientras que el auto de la Audiencia Provincial habría incurrido, además, en una vulneración del derecho a un proceso con todas las garantías, por introducir un nuevo motivo para la revocación de la suspensión, basado en la comisión de un delito no acreditado, lo que afecta igualmente a su derecho a la presunción de inocencia. Cita en apoyo de su pretensión, entre otras, la STC 32/2022, de 7 de marzo, aunque admite que en la fase jurisdiccional no se alegó la falta de audiencia previa a la adopción de la decisión de revocar la suspensión por impago de la responsabilidad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suplico de la demanda, por medio de otrosí digo, se solicita la suspensión de la ejecución de la pena, para no hacer ilusoria la eficacia del amparo y evitar perjuicios irreparables, conforme a lo dispuesto en los arts. 56 y 57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providencia de fecha 20 de julio de 2022, la Sección Cuarta de este tribunal acordó admitir a trámite el recurso, “apreciando que concurre en el mismo una especial trascendencia constitucional (art. 50.1 LOTC) porque el recurso puede dar ocasión al Tribunal para aclarar o cambiar su doctrina, como consecuencia de un proceso de reflexión interna [STC 155/2009, FJ 2 b)]”. A tal efecto, se acordó dirigir atenta comunicación a la Sección Tercera de la Audiencia Provincial de Córdoba, a fin de que, en plazo que no exceda de diez días, remita testimonio de las actuaciones correspondientes al rollo de apelación núm. 1273-2021. Y, en el mismo sentido, se acordó lo propio con el Juzgado de lo Penal núm. 2 de Córdoba, en relación con el procedimiento ejecutoria núm. 445-2018. Igualmente, se acordó que debían ser emplazados quienes hubieran sido parte en el procedimiento, excepto la parte recurrente, para que en el plazo de diez días pudieran comparecer, si lo desean,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acordó formar la oportuna pieza para la tramitación de la suspensión solicitada. En esta pieza se acordó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21 de agosto de 2022, el demandante de amparo presentó sus alegaciones, en las que reitera su petición de suspensión. En su escrito, con cita de los AATC 366/2006 y 59/2008, expone que estamos en presencia de una pena de corta duración, que no excede de los cinco años de prisión; y que su ejecución implicaría una pérdida irreparable para un bien de carácter personal como es el derecho a la libertad. Además, afirma haberse comprometido ante la denunciante por escrito a que abonará las cantidades debidas tan pronto como pueda permitírselo, con independencia del tiempo que pueda transcurrir.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15 de septiembre de 2022 tuvo entrada en el registro de este tribunal el escrito de alegaciones del Ministerio Fiscal. Tras hacer una amplia reseña de los antecedentes que consideró de interés, y recordar la doctrina constitucional sobre la cuestión ahora planteada (con cita expresa del ATC 173/2017), el fiscal muestra su conformidad con la pretensión del recurrente en amparo. Para ello pondera, en concreto, que se trata de una pena de corta duración y que no se aprecia “un efecto singularmente grave, ni por su proyección social, ni por su incidencia en el interés de las personas económicamente dependientes de la pensión —perjudicadas por el delito— por cuyo impago ha sido condenado el actor, hasta el punto de generar una desprotección especialmente relevante de sus derechos que, en lo que concierne a la percepción de la debida asistencia económica, permanecen incólumes”. A ello se añade la “duda acerca de la entidad, gravedad y forma de constatación de esa supuesta acción delictiva” que habría motivado la resolución judicial ahora impugnada, que no es la sentencia condenatoria, que sigue vigente, sino la revocación de la suspensión de la ejecución de la pena y el consiguiente ingreso en prisión del recurrente, a lo que debe limitarse el objeto de la medida cautelar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es determinar la procedencia o no de la medida cautelar instada por la parte recurrente en amparo, consistente en la suspensión de la ejecución de una pena de prisión de seis meses impuesta por un delito de abandono de familia, en su modalidad de impago de pensiones, tras la revocación de la suspensión en su día concedida por el Juzgado de lo Penal núm. dos de Córdoba, decisión confirmada por la Sección Tercera de la Audiencia Provincial de Córdoba.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considera que la medida es necesaria para evitar que una eventual estimación del recurso tuviera una eficacia ilusoria, una vez ejecutada la pena. Añade que se trata de una pena de corta duración, por lo que no se causa perjuicio alguno al interés general; mientras que el perjuicio para el derecho a la libertad personal sería irreparable. Por su parte, el Ministerio Fiscal no se opone a la medida cautelar solicitada, por los motivos ya reseñados.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segundo,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interpretación combinada de los dos primeros apartados del art. 56 LOTC determina que la regla general es el mantenimiento de la eficacia del acto o resolución impugnados. La suspensión sería una excepción a esa regla general, por lo que los parámetros para su adopción han de estar basados en criterios de interpretación restrictiva. Para acordar la medida cautelar solicitada es necesario realizar un ejercicio de ponderación conjunta de dos circunstancias que, a su vez, han de ser valoradas desde su respectiva y diversa naturaleza. De esta forma, la concurrencia del perjuicio irreparable determinante de la posible pérdida de la finalidad del amparo no puede deslindarse de la previa ausencia de una perturbación grave para un interés constitucionalmente protegido. Dicho de otro modo, la ausencia de esa perturbación es el presupuesto necesario para que pueda entrar a valorarse la existencia de un perjuicio irreparable para el recurrente. Los términos del art. 56.2 LOTC no ofrecen duda al respecto. La medida cautelar de suspensión de la ejecución de la resolución impugnada ha de estar orientada a evitar que el amparo pierda su finalidad, “siempre y cuando” la suspensión no ocasione una perturbación grave a un interés constitucionalmente protegido. La concurrencia de esa perturbación impide la adopción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señalado este tribunal,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éste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noción de “perjuicio irreparable”, debe entenderse como “aquel que provoque que el restablecimiento del recurrente en los derechos fundamentales cuya vulneración denuncia sea tardío e impida definitivamente que la restauración sea efectiva […].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es doctrina general de este tribunal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2;42/2008, de 11 de febrero, FJ 1; 286/2008, de 22 de septiembre, FJ 1; 16/2009, de 26 de enero, FJ 1; 157/2009 , de 18 de mayo, FFJJ 2 y 3; 50/2010 ,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al presente caso de la doctrina expuesta conduce a la estimación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justifica su petición, resumidamente, en los perjuicios irreparables que se le causarían si se procediera a la ejecución de la pena de seis meses de prisión, en el supuesto de que se estimara finalmente el recurso. El fiscal apoya esta petición señalando que, además de tratarse de una pena de corta duración, no se aprecia la concurrencia de factor alguno de perturbación para los intereses generales o para los perjudicados por el hecho delictivo.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expuesto, en el caso de las resoluciones judiciales que imponen una pena privativa de libertad, la valoración de la gravedad de la perturbación de los intereses generales aparece íntimamente ligada a la gravedad de la pena impuesta, como criterio que engloba la trascendencia social y la entidad de la conducta, así como de los bienes jurídicos protegidos por la norma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resolución de esta pieza procede tener en cuenta, como elemento de ponderación significativamente relevante, que la pena impuesta de seis meses de prisión es notoriamente inferior al límite penológico de cinco años establecido como criterio orientativo por este tribunal para acordar o no la suspensión de este tipo de penas. Además, conforme señala el Ministerio Fiscal, no se aprecia que la medida pudiera afectar negativamente a los bienes jurídicos de terceros y, singularmente, a los perjudicados por el hecho delictivo, para quienes se mantiene vigente su derecho a la asistencia económica.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medida cautelar solicitada y, en consecuencia, suspender la ejecución de la pena de seis meses de prisión impuesta al recurrente, mientras se tramita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