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5166-2022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5166-2022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294-2018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julio de 2022 tuvo entrada en el registro general del Tribunal Constitucional un escrito de la procuradora de los tribunales doña Blanca Berriatua Horta, en representación de la entidad Euroinversiones Inmobiliarias Costa Sur, S.L., por el que interpuso recurso de amparo contra el auto de 3 de junio de 2022 del Juzgado de Primera Instancia e Instrucción núm. 5 de Lorca, que desestima el recurso de reposición interpuesto por la ahora actora frente al auto de 21 de septiembre de 2018, que inadmitió por extemporánea la demanda de oposición presentada en el seno de la ejecución hipotecaria núm. 294-2018, promovida por la entidad Banco de Sabadell,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septiembre de 2018, el Juzgado de Primera Instancia e Instrucción núm. 5 de Lorca dictó un auto en el procedimiento de ejecución hipotecaria núm. 294-2018 por el que acordó: “Inadmitir a trámite la oposición formulada por la parte ejecutada […] Euroinversiones Inmobiliarias Costa Sur, S.L., […], por estar presentada fuera de plazo”,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Ley de enjuiciamiento civil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recurso de reposición, fue desestimado por auto del Juzgado de fecha 3 de junio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consta en esta resolución, la entidad ahora recurrente alegó “la infracción de los artículos 135, 152, 158, 160, 162 y 273 de la Ley de enjuiciamiento civil así como el artículo 24 CE en el auto por el que se acuerda inadmitir a trámite la oposición formulada por considerarla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Manifiesta en síntesis la recurrente que no es cierto que la notificación se le efectuara en fecha 22 de mayo de 2018 como se afirma en la resolución recurrida sino el día 7 de julio de 2018, siendo que el escrito de oposición al estar presentado en fecha 20 de julio de 2018 estaría dentro del plazo de los diez días que impone el art. 695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el recurrente, que la comunicación recibida el día a través de la dirección electrónica habilitada no constituye una notificación o requerimiento en legal forma sino solamente un aviso de la puesta a su disposición de una notificación electrónica que puede descargarse en un plazo determinado, por que habiendo tenido acceso el día 7/07/2018 la notificación se efectúo en dicho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respuesta a estas pretensiones, el Juzgado argumenta, en resumen, lo siguiente: (i) que la demandante está obligada a relacionarse con la administración de justicia por medios electrónicos, dado su condición de persona jurídica; (ii) reseña los arts. 162.2 LEC; 33.2 y 34 de la Ley 18/2011, de 5 de julio; y 11.2 del Real Decreto 1065/2015, de 2 de noviembre; así como el acuerdo de Pleno no jurisdiccional de la Sala Cuarta del Tribunal Supremo de 6 de julio de 2016; y (iii) que, en el presente caso, “consta que la notificación se puso a disposición de la recurrente en fecha 22/05/2018 no accediendo al contenido hasta el día 07/07/18 (fuera de los tres días que establece la normativa procesal), presentando los escritos de oposición a la ejecución en fecha 20/07/2018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del derecho a la tutela judicial efectiva (art. 24.1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3 de junio de 2022, que desestimó la reposición, se reiteran los argumentos ya expuestos, que no fueron atendidos por el Juzgado al dar por válida la notificación efectuada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cita y reseña ampliamente la doctrina de este tribunal sobre la cuestión planteada, y más en concreto, las SSTC 47/2019, de 8 de abril; 40/2020, de 27 de febrero; 77/2020, de 29 de junio, y 130/2020, de 21 de septiembre,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294-2018 seguido ante el Juzgado de Primera Instancia e Instrucción núm.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24 de octubre de 2022,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comunicación al Juzgado de Primera Instancia e Instrucción núm. 5 de Lorca, a fin de que, en plazo que no exceda de diez días, remita testimonio íntegro de las actuaciones correspondientes al procedimiento de ejecución hipotecaria núm. 294-2018;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solicitado por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27 de octubre de 2022,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 harían perder al recurso de amparo su finalidad y provocarían perjuicios patrimoniales para mi representada de imposible o difícil reparación”. Tras reiterar los argumentos expuestos en la demanda de amparo, cita en apoyo de su pretensión lo resuelto por este tribunal en el ATC 287/2013, de 16 de diciembre, que reseña ampliamente.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10 de noviembre de 2022,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de forma exhaustiva los antecedentes que consideró de interés, el fiscal cita el art. 56 LOTC para, seguidamente, hacer una descripción amplia de la doctrina de este tribunal sobre sobre el carácter excepcional y la aplicación necesariamente restrictiva de la medida de suspensión de la resolución impugnada en amparo (art. 56.2 LOTC), así como sobre el concepto de perjuicio irreparable y su concreción en el ámbito patrimonial o económico. A lo que añade nuestra doctrina sobre la carga que recae sobre el recurrente, a la hora de alegar los concretos perjuicios que podrían derivarse de la ejecución de la resolución impugnada. Conforme a ese contexto, el Ministerio Fiscal considera aplicable a este supuesto la misma solución acordada en los AATC 27/2020, y 28/2020, ambos de 24 de febrero, FJ 3, que transcribe. En consecuencia, el fiscal interesa la desestimación de la suspensión solicitada y que, en su lugar, se acuerde “la medida cautelar de anotación preventiva de la demanda de amparo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294-2018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regulación ofrece una configuración de la suspensión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o justifique, ofreciendo un principio razonable de prueba, el carácter no reparable o la dificultad de la reparación de los perjuicios derivados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mencionada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un tercero de buena fe lo hiciera irreivindicable, situación a la que hace referencia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entre otros, en los AATC 106/2017, de 17 de julio, FJ 3; 88/2018, de 17 de septiembre, FJ 5; 2/2019, de 9 de enero, FJ 4, o 177/2019,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[sus]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294-2018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