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9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735-2022, interpuesto por más de cincuenta diputados del Grupo Parlamentario Popular en el Congreso de los Diputados contra el Real Decreto-ley 26/2021, de 8 de noviembre, por el que se adapta el texto refundido de la Ley reguladora de haciendas locales, aprobado por el Real Decreto Legislativo 2/2004, de 5 de marzo, a la reciente jurisprudencia del Tribunal Constitucional respecto del impuesto sobre el incremento de valor de los terrenos de naturaleza urbana. Ha comparecido y formulado alegaciones el abogado del Estado.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 de febrero de 2022, más de cincuenta diputados del Grupo Parlamentario Popular en el Congreso de los Diputados, interpusieron recurso de inconstitucionalidad contra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 (en adelante, IIVTNU), publicado en el “BOE” núm. 268, de 9 de noviembre de 2021 (en adelante,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inicia su razonamiento con un apartado en el que se recoge la doctrina del Tribunal Constitucional en relación con la naturaleza, función y requisitos del decreto-ley. A continuación, desarrolla argumentalmente los dos motivos por los que los recurrentes consideran que la norma incurre en inconstitucionalidad por vulneración del art. 86.1 CE. Motivos que,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del presupuesto de hecho habilitante: la extraordinaria y urgente necesidad exigida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cuestionan la concurrencia del presupuesto habilitador del real decreto-ley por tratarse de reformas estructurales no provocadas por ninguna situación de extraordinaria y urgente necesidad. Situación de extraordinaria y urgente necesidad que, con carácter general, no se puede fundamentar en la necesidad de dar coherencia a un conjunto normativo y menos si se trata de elementos esenciales del Derecho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aluden al tiempo transcurrido desde los primeros pronunciamientos del tribunal en materia de plusvalía. Como se reconoce en la memoria de impacto normativo presentada por el Gobierno en el Congreso de los Diputados, la norma introduce, en el articulado del texto refundido de la Ley reguladora de las haciendas locales (en adelante, TRLHL), diversas mejoras de técnica legislativa que venían siendo necesarias desde hace tiempo; afirmación que hay que poner en contexto, con referencia al momento en el que se produjeron las primeras sentencias del Tribunal: la STC 59/2017, de 11 de mayo, y la STC 126/2019, de 31 de octubre. En cuanto a la necesidad de cumplir la STC 182/2021, de 26 de octubre, afirman que el hecho de que se haya producido un vacío normativo como consecuencia de la misma, no implica que haya de recurrirse forzosamente al decreto-ley. Cabe, como en cualquier otro caso de laguna por efecto de una sentencia del tribunal, la regulación por las Cortes Generales bien por la tramitación ordinaria, bien por la vía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que, desde el dictado de la STC 126/2019 y de acuerdo con la doctrina en ella fijada, el Gobierno estaba ya en condiciones de iniciar el procedimiento legislativo para modificar la regulación declarada después inconstitucional por la STC 182/2021. De haberlo hecho, habría evitado el vacío que se denuncia en el preámbulo del real decreto-ley impugnado, por lo que puede decirse que la situación de extraordinaria y urgente necesidad alegada por el Gobierno ha sido provocada por su propia inactividad.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los recurrentes descartan igualmente fundamentar la urgencia en la eventual merma de ingresos de los ayuntamientos provocada por la imposibilidad de liquidar, comprobar, recaudar y revisar este impuesto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retraso en la aprobación de una ley por el trámite de urgencia o, incluso por el trámite normal, no puede, en su opinión, provocar un incremento significativo del déficit público, ni poner en riesgo el adecuado cumplimiento del principio de estabilidad presupuestaria (art. 135 CE) o del principio de suficiencia financiera de las entidades locales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disminución de ingresos se vería superada con creces, en todo caso, por la cantidad de ingresos que, de modo contrario a la Constitución, se han venido produciendo con apoyo en una ley que, de acuerdo con la ya citada STC 126/2019, era contraria al principio constitucional de capacidad económica y que no ha sido modificada por la inactividad del Gobierno en estos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los recurrentes rechazan, por simplista e irreal, el argumento de las inminentes distorsiones en el mercado inmobiliario, provocadas por un incremento significativo de las operaciones inmobiliarias en el breve lapso de tiempo hasta la aprobación de una nueva regulación legislativa. Afirman que las operaciones inmobiliarias a título lucrativo dependen de muchos elementos —más allá de la voluntad del vendedor— que trascienden al hecho de que se tribute o no por ellas. Añaden que el propio Gobierno manifiesta la imposibilidad de hacer una previsión de ingresos con la nueva norma, como también lo será asegurar que no se darán distorsiones inminentes en el mercado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lleva a cabo una regulación que materialmente le está vedada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en este punto, parte de la premisa de que el Gobierno confunde “infringir” con “afectar” a los deberes de los ciudadanos; en concreto, al deber de contribuir al sostenimiento de los gastos públicos (art. 31.1 CE). Argumenta que, si bien la nueva regulación puede que no infrinja la esencia del deber constitucional de contribuir al sostenimiento de los gastos públicos que enuncia el art. 31.1 CE, lo que es meridianamente claro es que sí afecta al mismo, en tanto que sustituye una regulación que ha sido declarada inconstitucional por la STC 182/2021 por ser contraria al principio de capacidad económica, como elemento esencial del gravamen. Los recurrentes fundamentan la afectación de la reforma cuestionada al conjunto del sistema tributario en un doble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negación de la afectación al sistema tributario en su conjunto que se contiene en el preámbulo del Real Decreto-ley 26/2021 resulta difícil de compatibilizar con la afirmación, simultáneamente recogida en el mismo, relativa a la importancia de dicha regulación para el adecuado cumplimiento del principio de estabilidad presupuestaria del art.135 CE y del principio de suficiencia financiera de las entidades locales reconocido en el art.142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afectación del sistema en su conjunto se deduce con claridad del fundamento jurídico 6 a) de la STC 182/2021, en el que se afirma que “al tratarse de un impuesto local, corresponde al legislador estatal integrar el principio de reserva de ley en materia tributaria (arts. 31.3 y 133.1 y 2 CE) como medio de preservar tanto la unidad del ordenamiento como una básica igualdad de posición de los contribuyentes en todo el territorio nacional [STC 233/1999, de 16 de diciembre, FJ 10 c)] y el principio de autonomía local (arts. 137 y 140 CE), garantizando con ello adicionalmente la suficiencia financiera de las entidades locales exigida por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en la propia memoria de impacto normativo se dice que “el art. 31.1 de la Constitución ‘conecta el citado deber de contribuir con el criterio de la capacidad económica’ y lo relaciona, a su vez, ‘no con cualquier figura tributaria en particular, sino con el conjunto del sistema tributario’, por lo que queda claro que ‘el Decreto-ley no podrá alterar ni el régimen general ni aquellos elementos esenciales de los tributos que inciden en la determinación de la carga tributaria (como es, claramente, la capacidad económica), afectando así al deber general de los ciudadanos de contribuir al sostenimiento de los gastos públicos de acuerdo con su riqueza mediante un sistema tributario justo’ (SSTC 182/1997, de 28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febrero de 2022, el Pleno, a propuesta de la Sección Tercera, acordó admitir a trámite el recurso y dar traslado de la demanda y los documentos presentados, conforme establece el art. 34 de la Ley Orgánica del Tribunal Constitucional (LOTC), al Congreso de los Diputados y al Senado, por conducto de su presidenta y presidente respectivamente, y al Gobierno, por conducto de la ministra de Justicia, al objeto de que, en el plazo de quince días, pudieran personarse en el procedimiento y formular alegaciones. Asimismo se acordó publicar la incoación del procedimiento en el “Boletín Oficial del Estado”, lo que se verificó en el núm. 53, de 3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el 4 de marzo de 2022 en el registro general del Tribunal, la presidenta del Congreso de los Diputados acordó dar por personada a esa Cámara y por ofrecida su colaboración a los efectos del art. 88.1 LOTC, así como remitir a la dirección de estudios, análisis y publicaciones y a la asesoría jurídica de la Secretaría General. El presidente del Senado, mediante escrito registrado el 8 de marzo de 2022, solicitó asimismo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21 de marzo de 2022, el abogado del Estado, en la representación que ostenta, comparece en el proceso y solicita se le conceda prórroga del plazo para formular alegaciones. Por providencia de la misma fecha, el Pleno accedió a la petición, prorrogándole en ocho días el plazo de alegaciones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con fecha de 31 de marzo de 2022, interesando la desestimación del recurso. Después de delimitar el objeto del recurso, aborda las concretas impugnaciones realizadas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Concurrencia del presupuesto habilitante de la extraordinaria y urgente necesidad en el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su razonamiento refiriéndose a la doctrina constitucional sobre concurrencia y control del presupuesto habilitante de la extraordinaria y urgente necesidad para aprobar un decreto-ley, con especial atención a los pronunciamientos que de forma específica abordan la cuestión en el ámbito de la adopción de medidas de naturaleza tributaria (STC 137/2011, de 14 de septiembre,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realiza un análisis de la justificación de la reforma aprobada por el Real Decreto-ley 26/2021, de 8 de noviembre, desde la perspectiva constitucional, tomando como punto de partida los argumentos recogidos en el preámbulo. Sostiene que la razón definitiva o determinante de haberse llevado a cabo la modificación normativa efectuada a través del real decreto-ley es el contenido de la STC 182/2021, pero no, o no tanto, el de los anteriores pronunciamientos del tribunal en la materia (SSTC 59/2017 y 126/2021). La STC 182/2021 hizo precisa una acción normativa inmediata porque, a diferencia de las otras dos sentencias, declaró la nulidad de los artículos del TRLHL que establecían la fórmula de cálculo del impuesto sobre el incremento de valor de los terrenos de naturaleza urbana, lo que en la práctica dejó a las entidades locales sin la posibilidad de recaudar uno de sus principales ingresos tributarios. Generó un vacío normativo al que había que darse respuesta inmediata, toda vez que imposibilitaba la liquidación del impuesto hasta la fecha en que el legislador estatal llevase a cabo las modificaciones pertinentes en el IIVTNU.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son objeciones inadecuadas las que apuntan a una supuesta desidia del Gobierno desde el año 2017, porque la justificación de la estricta necesidad de aprobar una norma de urgencia surge solamente a partir de la STC 182/2021, con el objetivo de permitir o habilitar de nuevo la posibilidad de llevar a cabo la recaudación de un tributo crucial desde la perspectiva de la estabilidad financiera de las haciendas locales. Reprochar al Gobierno no haber llevado a cabo o acometido una nueva regulación del IIVTNU desde el año 2017, más allá de su acierto, supone en sí un reproche de política legislativa o de mala praxis gubernamental, pero no es un argumento que en sí mismo ponga en tela de juicio la concurrencia ahora del presupuesto habilitante de la extraordinaria y urgente necesidad, que surge solo a partir de la STC 182/2021.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vacío legal ocasionado por la sentencia podía provocar, asimismo, distorsiones inminentes en el mercado inmobiliario, al suponer un incentivo para acelerar de forma urgente operaciones inmobiliarias con la única finalidad de aprovechar la coyuntura de “no tributación” antes de que fuera aprobada la nueva normativa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en este punto, afirmando que la extraordinaria y urgente necesidad de aprobar el Real Decreto-ley 26/2021 se inscribe en el “juicio político o de oportunidad” que corresponde al Gobierno en cuanto órgano de dirección política del Estado (SSTC 61/2018, de 7 de junio, FFJJ 4 y 7, y 142/2014, de 11 de septiembre, FJ 3) y esta decisión, sin duda, supone una “ordenación de prioridades políticas” de actuación (STC 14/2020, de 28 de enero, FJ 4). En ningún caso, el cuestionado Real Decreto-ley 26/2021 constituye un supuesto de uso abusivo o arbitrario de este instrumento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26/2021 no incide en ámbitos constitucionalmente vedados, conforme a lo dispuesto en el art. 86.1 de la CE: no hay afectación al principio de capacidad económica y regulación de la materia tributaria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sostiene, en primer lugar, que el Real Decreto-ley 26/2021 no ha afectado indebidamente a alguno de los ámbitos o materias propias de régimen específico de los derechos, deberes y libertades de los ciudadanos regulados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se desarrolla con una amplia cita de la doctrina constitucional relativa a los límites materiales en la utilización del decreto-ley en materia tributaria, con especial referencia a las SSTC 100/2012, de 8 de mayo, y 73/2017, de 8 de junio; sentencia esta última que declaró la inconstitucionalidad de “cualquier intervención o innovación normativa que, por su entidad cualitativa o cuantitativa, altere sensiblemente la posición del obligado a contribuir según su capacidad económica en el conjunto del sistema tributario” (FJ 2). De acuerdo con esta doctrina constitucional, la abogacía del Estado afirma que las medidas tributarias contenidas en el real decreto-ley no vulneran el art. 31 CE, no alteran “de manera relevante la presión fiscal que deben soportar los contribuyentes y, por consiguiente, no ha provocado un cambio sustancial de la posición de los ciudadanos en el conjunto del sistema tributario, de manera que no ha afectado a la esencia del deber constitucional de contribuir al sostenimiento de los gastos públicos” (STC 100/2012,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el abogado del Estado alude al carácter parcial de la reforma de la normativa reguladora del IIVTNU: se limita a introducir un nuevo supuesto de no sujeción y a modificar el método de determinación de la base imponible, con la finalidad de dar cumplimiento al mandato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Modificar la determinación de la base imponible era imprescindible para adecuar la carga tributaria de este impuesto al principio constitucional de capacidad económica. La reforma no altera sensiblemente la posición del obligado a contribuir según su capacidad económica en el conjunto del sistema tributario, ya que además el impuesto que se reforma no constituye tampoco uno de los pilares estructurales del sistema tributario español, como reconoce el propio Tribunal Constitucional (STC 182/2021,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hallamos ante la creación —ab origine, por tanto— de un tributo. Es claro que lo que hace el Real Decreto-ley 26/2021 es incorporar de nuevo al ordenamiento jurídico la vigencia de un tributo y su régimen específico, que había sido expulsado del ordenamiento por obra de la STC 182/2021, en tanto que la aplicación al menos del mismo se había vuelto jurídicamente imposible ante el efecto de nulidad de los criterios de determinación de la base imponible, que dicha sentencia había causado por su declaración de inconstitucionalidad. En definitiva, lo que la reforma introduce es una alteración de los parámetros de cálculo de la base, para sustituir un método por otro, de una manera más favorable para el obligado a contribuir por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la abogacía del Estado afirma que es clara la incidencia de la nueva norma en uno de los elementos esenciales del IIVTNU: los parámetros establecidos para el cálculo de su base imponible. Ahora bien, de lo que se trata es de aligerar la carga impositiva del obligado al pago, de conformidad con la doctrina del Tribunal Constitucional. De ello sale favorecida la capacidad contributiva, ex art. 31 CE, de los eventualmente obligados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posibilita, según el abogado del Estado, el que no estemos ya ante un método único de cálculo para la determinación de la base imponible, pues se permite, para los casos en que se constate a instancia del interesado, que no se ha producido un incremento de valor, la posibilidad de considerar un supuesto de no sujeción, así como el acomodar la carga tributaria al incremento de valor real, efectivamente obtenido. Se prevé, pues, un sistema más favorable, más adecuado al principio de capacidad contributiva, al regular un método de cuantificación de la base imponible fundamentado legalmente ya solo en la plusvalía real generada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Real Decreto-ley 26/2021 no incurre en la prohibición de afectar a determinados ámbitos o campos específicos que el art. 86.1 CE establece para cualquier decreto-ley, como sería el principio de capacidad contributiva en tanto que elemento o criterio esencial determinante a la hora de establecer el régimen jurídico de aquellas categorías específicas de tributos que el legislador, dentro de su libre margen de su potestad ordenadora, pueda llegar a configurar.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7 de marzo de 2023 se acordó señalar para la deliberación y votación de la presente sentencia el día 9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interpuesto por más de cincuenta diputados del Grupo Parlamentario Popular del Congreso de los Diputados, tiene por objeto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 publicado en el “BOE” núm. 268, de 9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impugna la totalidad del Real Decreto-ley 26/2021, motivo por el que no procede su reproducción en tanto que habría que hacerla de manera íntegra. No obstante, a los solos efectos de facilitar la mejor comprensión del objeto de controversia, expondremos la estructura y elementos esenciales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dictado al amparo del art. 149.1.14 CE, que atribuye al Estado la competencia exclusiva en materia de hacienda general (disposición final primera), consta de un artículo único y una disposición transitoria única, además de las correspondientes disposiciones finales relativas a la habilitación normativa al Gobierno (segunda) y la entrada en vigor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tiene por objeto la modificación del texto refundido de la Ley reguladora de las haciendas locales, aprobado por el Real Decreto Legislativo 2/2004, de 5 de marzo (en adelante, TRLHL), y está integrado por tres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Apartado primero, que añade un apartado quinto en el art. 104 TRLHL, estableciendo la no sujeción al impuesto sobre el incremento de valor de los terrenos de naturaleza urbana cuando se constate la inexistencia de incremento de valor por diferencia entre los valores de dichos terrenos en las fechas de transmisión y adquisición. Además, establece el sujeto obligado a su acreditación, los títulos que debe aportar, así como el método de cálculo del valor del suelo cuando se produce la adquisición y transmisión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Apartado segundo, que modifica el art. 107 TRLHL dando una nueva redacción a la determinación de la base imponible. Base imponible que está constituida “por el incremento del valor de los terrenos puesto de manifiesto en el momento del devengo y experimentado a lo largo de un periodo máximo de veinte años, y se determinará, sin perjuicio de lo dispuesto en el apartado 5 de este artículo, multiplicando el valor del terreno en el momento del devengo calculado conforme a lo establecido en sus apartados 2 y 3, por el coeficiente que corresponda al periodo de generación conforme a lo previsto en su apartado 4”. En el apartado 5 se dispone que “[c]uando, a instancia del sujeto pasivo, conforme al procedimiento establecido en el artículo 104.5, se constate que el importe del incremento de valor es inferior al importe de la base imponible determinada con arreglo a lo dispuesto en los apartados anteriores de este artículo, se tomará como base imponible el importe de dicho incremento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Apartado tercero, que modifica el apartado cuarto y añade un apartado octavo en el art. 110 TRLHL, relativos al régimen de autoliquidación, las facultades de comprobación de valores, y la colaboración e intercambio de información entre administraciones tributarias para la aplicación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transitoria única prevé un plazo de seis meses para adaptar las ordenanzas fiscales, periodo durante el cual será de aplicación lo dispuesto en el real decreto-ley, tomándose, para la determinación de la base imponible del impuesto, los coeficientes máximos establecidos en la redacción del art. 107.4 TRLHL dada por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expuesto de forma más detallada en los antecedentes, los recurrentes consideran que la totalidad del real decreto-ley incurre en una doble vulneración del art. 86.1 CE: (i) carecer del presupuesto habilitante de la extraordinaria y urgente necesidad; y (ii) infringir los límites materiales que se imponen constitucionalmente a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por su parte, las vulneraciones constitucionales alegadas, interesando, por ello, la íntegra desestimación del recurso. Considera que concurre la situación de extraordinaria y urgente necesidad que exige el art. 86.1 CE, sin que, por otro lado, se vulneren los límites materiales que derivan del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Primer motivo de inconstitucionalidad: la concurrencia del presupuesto habilitante de la extraordinaria y urgente necesidad en el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en el Real Decreto-ley 26/2021 no concurre el presupuesto habilitador por cuanto en él se abordan reformas estructurales que no han sido provocadas por ninguna situación de extraordinaria y urgente necesidad, sin que las razones expuestas por el Gobierno —merma de ingresos de los ayuntamientos y eventuales distorsiones en el mercado inmobiliario— tengan la suficiente entidad para justificar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este motivo de impugnación exige que recordemos, en primer lugar, la doctrina constitucional elaborada en relación con el presupuesto que habilita al Gobierno para aprobar normas provisionales con rango de ley, con especial referencia al ámbito económico. En segundo lugar, analizaremos las razones invocadas por el Gobierno para justificar la aprobación de la norma recurrida, así como la existencia o no de la “conexión de sentido” entre las medidas adoptadas y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en relación con el presupuesto habilitante. Alcance del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resumido en numerosas sentencias (por todas, SSTC 34/2017, de 1 de marzo, FJ 3; 14/2020, de 28 de enero, FJ 2; y 40/2021, de 18 de febrero, FJ 2) la doctrina relativa al régimen constitucional del decreto-ley y su presupuesto habilitante, lo que nos dispensa de reiterarla una vez más. Baste recordar ahora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concepto de extraordinaria y urgente necesidad “no constituye una cláusula o expresión vacía de significado dentro de la cual el lógico margen de apreciación política del Gobierno se mueve libremente sin restricción alguna, sino un verdadero límite jurídico a la actuación mediante decretos-leyes” (SSTC 14/2020, FJ 2, y 40/2021,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 leyes” (STC 40/2021, FJ 2). En definitiva, corresponde a este tribunal “un ‘control externo, en el sentido de que debe verificar, pero no sustituir, el juicio político o de oportunidad que corresponde al Gobierno’ (STC 142/2014, de 11 de septiembre, FJ 3, y las que allí se citan)” [SSTC 34/2017, FJ 3 b), y 14/2020,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control externo sobre la concurrencia del presupuesto habilitante ha de superar, en todo caso, un doble canon. El primero se concreta “en la comprobación de que el Gobierno haya definido, de manera explícita y razonada, una situación de extraordinaria y urgente necesidad que precise de una respuesta normativa con rango de ley” (STC 40/2021, FJ 2). A este respecto, el examen de la concurrencia del presupuesto habilitante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[STC 34/2017,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segundo canon del control externo del presupuesto habilitante exige que “exista una conexión de sentido entre la situación definida y las medidas adoptadas para hacerle frente” (STC 40/2021, FJ 2). En relación con este canon, “se ha fijado un doble criterio o perspectiva para valorar su existencia: el contenido, por un lado, y la estructura, por otro, de las disposiciones incluidas en el Real Decreto-ley controvertido” [STC 34/2017,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aspectos esenciales sobre el presupuesto habilitante del decreto-ley y su control constitucional, hemos de recordar también nuestra doctrina relativa a su utilización en el ámbito económico, como instrumento idóneo para abordar las llamadas “coyunturas económicas problemáticas”. En este sentido,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(SSTC 6/1983, de 4 de febrero, FJ 5; 237/2012, de 13 de diciembre, FJ 3, y 48/2015, FJ 3). Y en este contexto, se ha venido admitiendo reiteradamente el uso del decreto-ley en situaciones que cabe calificar como ‘coyunturas económicas problemáticas’, para cuyo tratamiento representa un instrumento constitucionalmente lícito, en tanto que pertinente y adecuado para la consecución del fin que justifica la legislación de urgencia (STC 183/2014, FJ 4)” (STC 18/2016, de 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 doctrina expuesta, este tribunal “no estimó contraria al art. 86.1 CE la apreciación de la urgencia hecha por el Gobierno en casos de modificaciones tributarias que afectaban a las haciendas locales (STC 6/1983, de 4 de febrero) […] o de medidas tributarias de saneamiento del déficit público (STC 182/1997, de 28 de octubre). Como es fácil comprobar en todas estas sentencias, los decretos-leyes enjuiciados afectaban a lo que la STC 23/1993, de 21 de enero, FJ 5, denominó ‘coyunturas económicas problemáticas’ para cuyo tratamiento el decreto-ley representa un instrumento constitucionalmente lícito […] (SSTC 6/1983, de 4 de febrero, FJ 5; 11/2002, de 17 de enero, FJ 4)” (STC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Definición explícita y razonada de la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examinando las razones que invoca el Gobierno de la Nación para justificar la aprobación del Real Decreto-ley 26/2021. Este examen se ha de llevar a cabo, como ya hemos señalado, mediante la valoración conjunta del preámbulo de la norma, el debate parlamentario de convalidación y el propio expediente de elaboración [por todas, STC 34/2017,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el apartado I del preámbulo que este real decreto-ley “tiene por objeto dar respuesta al mandato del Alto Tribunal de llevar a cabo las modificaciones o adaptaciones pertinentes en el régimen legal del impuesto” como consecuencia de la STC 182/2021, de 26 de octubre, “así como integrar la doctrina contenida” en las SSTC 59/2017, de 11 de mayo, y 126/2019, de 31 de octubre, “al objeto de dar unidad a la normativa del impuesto y cumplir con el principio de capacidad económica”. En definitiva, con la reforma “se busca adecuar la base imponible del impuesto a la capacidad económica efectiva del contribuyente, permitiendo su contribución al sostenimiento de los gastos públicos de acuerdo con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II justifica la concurrencia de una situación de “extraordinaria y urgente necesidad”, basándose en que la STC 182/2021 ha declarado nulos e inconstitucionales los arts. 107.1, segundo párrafo, 107.2 a) y 107.4 TRLHL, “lo que supone su expulsión del ordenamiento jurídico, dejando un vacío normativo sobre la determinación de la base imponible que impide la liquidación, comprobación, recaudación y revisión de este tributo local y, por tanto, su exigibilidad”.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fallo trae como consecuencia que a los ayuntamientos les resulte imposible “liquidar, comprobar, recaudar y revisar este impuesto local, que desde esa fecha deja de ser exigible. Ello supone una merma inmediata e importante de sus recursos financieros, que puede provocar un incremento del déficit público que ponga en riesgo el adecuado cumplimiento del principio de estabilidad presupuestaria recogido en el artículo 135 de la Constitución, lo que va además en perjuicio del principio de suficiencia financiera de las entidades locales reconocido en el artículo 142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han de añadir las distorsiones inminentes en el mercado inmobiliario que el vacío legal ocasionado por la sentencia podría provocar, “en cuanto que puede suponer un incentivo para acelerar de forma urgente operaciones inmobiliarias con la única finalidad de aprovechar la coyuntura de ‘no tributación’ antes de que fuera aprobada la nueva normativa del impuesto, que de no ser aprobada por real decreto-ley requeriría varios meses para su posible aprobación y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afirmando que todas las razones expuestas justifican razonadamente la adopción del real decreto-ley y, en consecuencia, la extraordinaria y urgente necesidad de aprobarlo se inscribe en el juicio político o de oportunidad que corresponde al Gobierno en cuanto órgano de dirección política del Estado, tratándose de una decisión que supone una ordenación de prioridades políticas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parlamentario de convalidación del real decreto-ley (“Diario de Sesiones del Congreso de los Diputados”, XIV Legislatura, núm. 144, de 2 de diciembre de 2021, págs. 48-67), la ministra de Hacienda y Función Pública manifestó que la norma se ha elaborado para subsanar el vacío normativo generado por la STC 182/2021 sobre la determinación del cálculo de la base imponible del IIVTNU, y que el Gobierno actuó de manera diligente dada la importancia que tiene esta cuestión para los municipios y sus finanzas públicas. En este sentido, subraya la ministra en su intervención que la aplicación de la norma tiene un beneficio múltiple: (i) permite a los ayuntamientos “restablecer la exigibilidad de este impuesto y dar certidumbre sobre los recursos con los que contarán, evitando un posible deterioro de los servicios públicos”; (ii) a la ciudadanía le facilita adecuar “la base imponible del impuesto a la capacidad económica de cada contribuyente, que además podrá optar por dos sistemas de tributación”; y (iii) “integra la doctrina contenida en dos sentencias previas del Alto Tribunal de 2017 y 2019 sobre la misma figura”.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 el contenido del real decreto-ley poniendo el acento en las dos principales novedades: sustituir los porcentajes aplicables sobre el valor del terreno para determinar la base imponible del impuesto y establecer dos posibles métodos de cálculo del impuesto. Y concluye la intervención emplazando a apoyar la convalidación de la norma, “porque nos beneficia a todos, a ayuntamientos y a ciudadanos, resolviendo la situación creada por la resolución del Tribunal Constitucional [y porque] con esta nueva modificación se avanza en una formulación más justa de la propia figura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memoria del análisis de impacto normativo (apartados I.2 y 3) recuerda, una vez más, que el objetivo de la norma es “la adaptación de la normativa reguladora del impuesto sobre el incremento de valor de los terrenos de naturaleza urbana al contenido de la sentencia del Tribunal Constitucional 182/2021, así como integrar la doctrina contenida en las sentencias 59/2017 y 126/2019, al objeto de dar unidad a la normativa del impuesto y cumplir con el principio de capacidad económica”. Abunda en la idea de que la STC 182/2021 “ha provocado un vacío legal que imposibilita la liquidación y la exigibilidad del impuesto, lo que supone una merma inmediata e importante de sus recursos financieros, que puede provocar un incremento del déficit público que ponga en riesgo el adecuado cumplimiento del principio de estabilidad presupuestaria recogido en el artículo 135 de la Constitución, lo que va además en perjuicio del principio de suficiencia financiera de las entidades locales reconocido en el artículo 142 de la Constitución”. A lo que se añade que “puede provocar distorsiones inminentes en el mercado inmobiliario en cuanto que puede suponer un incentivo para acelerar de forma urgente operaciones inmobiliarias con la finalidad de aprovechar la coyuntura de ‘no tributación’ antes de que fuera aprobada la nueva normativa del impuesto, que de no ser aprobada por real decreto-ley requeriría de varios meses para su posible aprobación y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 expuesto se colige que, en el preámbulo y en la memoria del real decreto-ley impugnado, así como en su presentación en el trámite parlamentario de convalidación, el Gobierno ha ofrecido, de forma explícita y razonada, una justificación para la adopción de las medidas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se puede concretar en los siguientes términos. La citada STC 182/2021 ha declarado nulos e inconstitucionales los arts. 107.1, segundo párrafo, 107.2 a) y 107.4 TRLHL, afectando por ello a los recursos financieros de los entes locales debido a la pérdida recaudatoria derivada de la imposibilidad de exigir el IIVTNU; afectación que incide en la suficiencia financiera local, el incremento del déficit público y la estabilidad presupuestaria, y causa, a su vez, distorsiones en el mercado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los recurrentes aducen que la existencia de un vacío normativo provocado por las decisiones del Tribunal Constitucional no implica que hubiera que acudir necesariamente a la figura del decreto-ley. A su juicio, desde que se dictó la STC 126/2019 y de acuerdo con la doctrina en ella fijada, el Gobierno estaba en condiciones de iniciar el procedimiento legislativo para modificar la regulación declarada inconstitucional después en la STC 182/2021. Es, por ello, que sostienen que la situación de extraordinaria y urgente necesidad alegada por el Gobierno fue provocada por su propia inactividad.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contenido del fallo de las SSTC 59/2017, 126/2019 y 182/2021, se puede apreciar que la única que produjo un vacío legislativo capaz de impedir la exigencia del IIVTNU fue la última de ellas. De hecho, el impuesto se ha seguido exigiendo por los entes locales, no sin cierta conflictividad, en todas aquellas situaciones que no se vieron afectadas por la declaración de inconstitucionalidad contenida en las ya citadas SSTC 59/2017 y 126/2019,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26/2021 señala, ya en su propio título, que se dicta con la finalidad de “adaptar el texto refundido de la Ley reguladora de haciendas locales aprobado por el Real Decreto Legislativo 2/2004, de 5 de marzo, a la reciente jurisprudencia del Tribunal Constitucional respecto del impuesto sobre el incremento de valor de los terrenos de naturaleza urbana”. Su preámbulo afirma que “tiene por objeto dar respuesta al mandato del Alto Tribunal de llevar a cabo las modificaciones o adaptaciones pertinentes en el régimen legal del impuesto como consecuencia de la última de las sentencias referidas”, es decir, la STC 182/2021. Ello sin perjuicio de que también se haya procedido a “integrar la doctrina contenida en las otras dos sentencias, al objeto de dar unidad a la normativa del impuesto y cumplir con el principio de capacidad económica” algo que no resulta 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compartir la afirmación de la parte recurrente referida a que, desde que se conoció la doctrina de la STC 126/2019, el Gobierno estaba ya en condiciones de iniciar el procedimiento legislativo para modificar la regulación declarada inconstitucional después en la STC 182/2021. Si bien los tres pronunciamientos abordan la compatibilidad de la regulación del IIVTNU con diferentes vertientes del principio de capacidad contributiva y, en ocasiones, también en conexión con el principio de no confiscatoriedad, hemos de subrayar que ni la STC 126/2019, ni su predecesora la STC 59/2017, examinaron el método objetivo obligatorio de estimación de la base imponible, que fue lo declarado inconstitucional en la STC 182/2021 y el principal objeto de regulación por el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podemos concluir que, desde el plano del control externo que compete a este tribunal, una vez descrita de forma suficiente la situación de extraordinaria y urgente necesidad, como aquí hemos apreciado, resulta jurídicamente admisible la acción normativa inmediata, evitando con ello la demora que hubiera supuesto recurrir a la tramitación legislativa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Presupuesto habilitante y conexión de sentido de las medidas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segunda dimensión del presupuesto habilitante exige que las medidas aprobadas guarden una “conexión de sentido” con la situación de extraordinaria y urgente necesidad (STC 29/1982, de 31 de mayo, FJ 3) o, dicho de otro modo, “una relación directa o de congruencia con la situación que se trata de afrontar” (STC 182/1997, de 28 de octubre, FJ 3). En particular, nuestra doctrina ha establecido una doble perspectiva para valorarla: el contenido, por un lado, y la estructura, por otro, de las disposiciones incluidas en el decreto-ley controvertido. Así, ya en la citada STC 29/1982, FJ 3, este tribunal excluyó aquellas disposiciones “que, por su contenido y de manera evidente, no guarden relación alguna, directa ni indirecta, con la situación que se trata de afrontar y, muy especialmente, aquellas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descarta que se pueda fundamentar la urgencia en los dos motivos alegados por el Gobierno: (i) ante la eventual merma de ingresos de los ayuntamientos por la imposibilidad de recaudar el IIVTNU, sostienen que el posible retraso en la aprobación de una ley por el trámite de urgencia o por el ordinario, no tiene capacidad para provocar un incremento significativo del déficit público, ni poner en riesgo la estabilidad presupuestaria o la suficiencia financiera de las entidades locales; y (ii) consideran simplista e irreal el argumento de las inminentes distorsiones en el mercado inmobiliario, a lo que añaden la imposibilidad del Gobierno de hacer una previsión de ingresos con la nueva norma o asegurar que con ella no se darán distorsiones inminentes en el mercado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control que corresponde a este tribunal, la alegación debe ser desestimada por las razones que expondremos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preceptos que se contienen en el real decreto-ley tienen como finalidad colmar el vacío normativo producido por la declaración de inconstitucionalidad llevada a cabo por la STC 182/2021. De no haberse aprobado la norma cuestionada, no hubiera sido posible seguir recaudando el impuesto por parte de las entidades locales. Se cumplimenta así la necesaria conexión entre la situación de extraordinaria y urgente necesidad, descrita en el apartado B) de este fundamento de derecho, y las medidas adoptadas para hacerle frente. A ello se ha de añadir que las medidas adoptadas modifican de modo inmediato la situación jurídica existente, introduciendo una nueva regulación de la base imponible que responde a lo requerido por la STC 182/2021.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en otras ocasiones que “[p]ara llevar a cabo nuestro examen es preciso valorar, en su conjunto, todos aquellos factores que aconsejaron al Gobierno dictar la disposición impugnada”, para lo cual no se trata de discutir acerca de la bondad técnica de las medidas “sino de examinar la correspondencia de las normas contenidas en el decreto-ley con la situación económica que se trata de afrontar, a fin de controlar la apreciación de la misma como un supuesto de ‘extraordinaria y urgente necesidad’, dentro del enjuiciamiento que sí nos compete sobre la validez constitucional de las determinaciones jurídicas adoptadas por el legislador” (STC 182/1997,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que no cabía seguir exigiendo el impuesto, la consecuencia inmediata era que se iba a causar una pérdida de ingresos para los municipios. Aunque no todos los entes locales han optado por el establecimiento del IIVTNU, lo cierto es que en los municipios de gran población constituye una importante fuente de ingresos, al ocupar la segunda o tercera posición, según los casos, en el ranking de impuestos por volumen de recaudación. Ello justifica que sea posible afirmar que de no evitarse la pérdida recaudatoria, por la imposibilidad de seguir exigiendo el impuesto, podría llegar a comprometerse la suficiencia financiera e incrementar el déficit presupuestario. Basta recurrir a la lectura del “Diario de Sesiones del Congreso de los Diputados” (XIV Legislatura, núm. 144, de 2 de diciembre de 2021) para comprobar que uno de los aspectos principales en los que se centró el debate parlamentario fue, precisamente, la situación económica de los municipios y la necesidad de compensar a los mismos por la merma de ingresos producidos como consecuencia de los pronunciamientos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resta añadir que la conexión que tiene este impuesto con el mercado inmobiliario está fuera de toda duda, desde el momento en que se gravan los incrementos de valor producidos en este tipo de transacciones inmobiliarias, conexión que ya se ponía de relieve en la propia STC 182/2021,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medidas tributarias adoptadas guardan una relación de coherencia con una situación económica problemática explícita y razonada, en el mismo sentido que se apreció en otras ocasiones, tales como en el caso de las medidas urgentes en materia presupuestaria, tributaria y financiera que modificaban el tipo de gravamen del impuesto especial sobre determinados medios de transporte (STC 137/2003); o de medidas urgentes para incentivar las medidas de recuperación económica y social en el ámbito local de Castilla y León (STC 40/2021).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por todo ello en las medidas aprobadas la exigible “conexión de sentido” con la situación de “extraordinaria y urgente necesidad” previamente descrita, por lo que debemos desestimar en este punto la impugnación por falta del presupuesto habilitante del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Segundo motivo de inconstitucionalidad: límites materiales del Real Decreto-ley 26/2021 en materia tributaria. La no “afectación” del deber de contribuir al sostenimiento de los gastos públicos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norma impugnada “afecta” al deber de los ciudadanos de contribuir al sostenimiento de los gastos públicos (art. 31.1 CE). Argumentan que dicha afectación se produce porque el real decreto-ley viene a sustituir una regulación que ha sido declarada inconstitucional por ser contraria al principio de capacidad económica —STC 182/2021—, modificando sustancialmente un elemento esencial del gravamen, cual es la base imponible del tributo. Responder a este motivo de impugnación exige comenzar recordando la doctrina constitucional en relación con el uso del decreto-ley en materia tributaria, para, a continuación, examinar el alcance y contenido de la reforma llevada a cabo por el Real Decreto-ley 26/2021.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sobre el uso del decreto-ley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consolidada doctrina del tribunal en relación con el uso del decreto-ley en materia tributaria se puede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ya señalamos en la STC 182/1997, y reiteramos, entre otras, en las SSTC 137/2003, de 3 de julio, FJ 6; 108/2004, de 30 de junio, FJ 7; y 189/2005, de 7 de julio, FJ 7, del hecho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límite material “que no viene señalado por la reserva de ley”. A lo que este tribunal debe atender al interpretar el límite material del art. 86.1 CE “no es, pues, al modo como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interpretación de los límites materiales a la utilización del decreto-ley, hemos venido manteniendo siempre una posición equilibrada que evite las concepciones extremas, de modo que “la cláusula restrictiva del art. 86.1 de la Constitución (‘no podrán afectar ...’)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 60/1986, de 20 de mayo, FJ 4; y 182/1997, de 18 de octubre, FJ 6)” (STC 137/2003,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acuerdo con la posición descrita, el tribunal tiene declarado que el decreto-ley no puede “afectar”, en el sentido constitucional del término, al deber de todos de contribuir al sostenimiento de los gastos públicos (art. 31.1 CE). Y dicho deber de contribuir queda conectado constitucionalmente, de un lado, con el principio de capacidad económica y, de otro, no con cualquier figura tributaria en particular, sino con el conjunto del sistema tributario (por todas, STC 182/1997, FJ 7). De lo que se infiere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vulnerando, en consecuencia, el art. 86 CE “cualquier intervención o innovación normativa que, por su entidad cualitativa o cuantitativa, altere sensiblemente la posición del obligado a contribuir según su capacidad económica en el conjunto del sistema tributario” (por todas, SSTC 78/2020, de 1 de julio, FJ 3, y 156/2021, de 16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 tal fin, es preciso tener en cuenta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de 28 de octubre, FJ 7; 189/2005, de 7 de julio, FJ 7; 83/2014, de 29 de mayo, FJ 5; 73/2017, de 8 de junio, FJ 2, y 14/2020, de 28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Alcance y contenido de la reforma operada por el Real Decreto-ley 26/2021: los elementos del IIVTNU modificados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destacar que la reforma del Real Decreto-ley 26/2021 no tiene por objeto la creación ex novo de un tributo, sino la modificación parcial del régimen jurídico del ya existente IIVTNU. En efecto, la nueva regulación sigue el criterio de conservar, en la medida de lo posible, el articulado original, a partir del cual se introducen las modificaciones que se han considerado necesarias para atender al mandato expresado en los pronunciamientos de este tribunal y adecuar el tributo al principio de capacidad económica como fundamento, límite y criterio de imposición (SSTC 59/2017, 126/2019 y 182/2021).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establecer algunas previsiones relativas al ámbito de la gestión (art. 110.4 y 8 TRLHL), la reforma incide principalmente sobre un elemento esencial del impuesto, la base imponible (arts. 104.5 y 107 TRLHL), y lo hace, como indica el preámbulo, modificando su determinación para que refleje en todo momento la realidad del mercado inmobiliario. Así, si bien se mantiene el sistema indiciario u objetivo de determinación de la base imponible con la misma regla de cuantificación (aplicación de un coeficiente al valor catastral del suelo urbano en el momento del devengo), se reconoce, por un lado, la posibilidad de que los ayuntamientos corrijan a la baja los valores catastrales del suelo en función de su grado de actualización y, por otro lado, se sustituyen los anteriormente vigentes porcentajes anuales por unos coeficientes máximos establecidos en función del número de años transcurridos desde la adquisición del terreno, que serán actualizados anualmente, mediante norma con rango legal, teniendo en cuenta la evolución de los precios de las compraventas realizadas. Actualización que podrá ser llevada a cabo mediante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introduce el supuesto de no sujeción al impuesto derivado del fallo de la STC 59/2017, aplicable a instancia del sujeto pasivo, “en las trasmisiones de terrenos respecto de los cuales se constate la inexistencia de incremento de valor por diferencia entre los valores de dichos terrenos en las fechas de transmisión y adquisición” (art. 104.5 TRLHL); dotando con ello a la regulación del impuesto de una mayor seguridad jurídica y coherencia. Y, adicionalmente, se convierte en optativo el sistema precedente de estimación objetiva de la base imponible (art. 107.1 TRLHL), incluyendo la estimación directa como regla de salvaguarda con la finalidad de evitar que la tributación por este impuesto pudiera en algún caso resultar contraria al principio de capacidad económica, admitiendo que a instancia del sujeto pasivo se acomode la carga tributaria al incremento de valor efectivamente obtenido (art. 107.5 TRLHL), de conformidad con el procedimiento establecido en el ya mencionado art. 104.5 TRLHL; recogiéndose de este modo los postulados de las SSTC 126/2019 y 182/2021.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pues, de una regulación que afecta a todos los contribuyentes de este impuesto local, dado que quien no opte por la aplicación de las nuevas reglas de no sujeción o de estimación directa de la base imponible (acreditando para ello un no incremento de valor o una plusvalía inferior a la calculada objetivamente con el método indiciario establecido en la ley), deberá cuantificar esta última de acuerdo con el también reformado sistema objetivo de determinación de este elemento esencial del IIVTNU. De ahí que resulte fundamental para decidir sobre la constitucionalidad del decreto-ley aquí impugnado analizar el tributo sobre el que recae esta nueva regulación, indagando acerca de su naturaleza, estructura y la función que cumple dentro del conjunto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Naturaleza y estructura del IIVTNU, y la función que cumple dentro del conjunto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el incremento de valor de los terrenos de naturaleza urbana (IIVTNU) constituye el objeto de la reforma llevada a cabo por el Real Decreto-ley 26/2021; un impuesto local, definido por su carácter directo, real y objetivo. Atendiendo a la configuración actual del sistema de financiación de los entes locales, este no está integrado por ninguno de los tributos fundamentales del sistema tributario español. Si a ellos añadimos, como sucede con el IIVTNU, que no es un impuesto obligatorio, sino que su establecimiento es potestativo para los entes locales, de modo que en numerosos municipios no se prevé su exacción, su posición dentro del sistema tributario, y por ende su posible afectación al deber de contribuir de todos los ciudadanos, no reviste una especial importancia. Adicionalmente, se constata que el IIVTNU no es una de las “figuras impositivas estructurales del sistema” [STC 182/2021, FJ 4 A)], al tratarse de un impuesto “con un hecho imponible específico y no general (al gravar una concreta manifestación de riqueza, cual es la plusvalía de los terrenos urbanos por el paso del tiempo y no la renta global del sujeto) y sin constituir una figura central de la imposición directa” [STC 182/2021,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impuesto local ni constituye un pilar básico dentro del conjunto del sistema tributario, ni tampoco lo es dentro de la imposición directa. Sí lo son otros impuestos, al ser tributos globales sobre la renta, tales como el impuesto sobre renta de las personas físicas (STC 182/1997, FJ 9) o el impuesto sobre sociedades (STC 78/2020, FJ 5), dos pilares estructurales del sistema tributario a través de los cuales se realiza la personalización del reparto de la carga fiscal según los criterios de capacidad económica e igualdad. E incluso hemos extendido esa consideración, bajo determinadas circunstancias, al impuesto sobre la renta de no residentes [STC 73/2017, FJ 3 a)]. Pero también hemos negado que la modificación del tipo de gravamen del impuesto sobre determinados medios de transporte afecte al deber de contribuir porque “lejos de configurarse como un tributo global sobre la renta o sobre el consumo, grava una específica manifestación de capacidad económica, la que se pone de manifiesto con la adquisición de vehículos” (STC 137/2003, FJ 7). En el mismo sentido nos pronunciamos en relación con la modificación del tipo de gravamen del impuesto especial sobre el alcohol y bebidas derivadas (STC 108/2004, FJ 8); o respecto de una reducción en la base imponible del impuesto sobre sucesiones y donaciones “exclusivamente en los supuestos de transmisión mortis causa de la empresa familiar y de la vivienda habitual del causante […] no se configura como un tributo global sobre la renta o el consumo, sino que se limita a gravar una manifestación concreta de capacidad económica” (STC 189/2005,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posición del IIVTNU en el sistema tributario español, puede afirmarse que la regulación impugnada, aunque modifique la base imponible de este impuesto local, no ha alterado sustancialmente la posición de los obligados a contribuir según su capacidad económica en el conjunto del sistema tributario, de manera que no ha afectado a la esencia del deber constitucional de contribuir al sostenimiento de los gastos públicos que enuncia el art. 31.1 CE. Por tanto, procede desestimar la impugnación del Real Decreto-ley 26/2021 al no apreciarse vulneración de los límites materiales que el art. 86.1 CE (en relación con el art. 31.1 CE) establece para la utilización del decreto-ley en materia tributaria.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promovido por más de cincuenta diputados del Grupo Parlamentario Popular en el Congreso de los Diputados contra 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