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8144-2021, promovido por don Juan Carlos Ángel Bernal, representado por la procuradora de los tribunales doña Isabel Núñez Zamorano y bajo la dirección del letrado don Carlos Francisco García Gil, contra la providencia de fecha 28 de octubre de 2021, dictada por la Sección Quinta de la Audiencia Provincial de Murcia, por la que se inadmite el incidente excepcional de nulidad de actuaciones formulado frente al auto de 8 de junio de 2021. Ha sido parte la entidad Cajamar Caja Rural, Sociedad Cooperativa de Crédito, representada por el procurador de los tribunales don Ignacio María Batllo Ripoll. Ha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diciembre de 2021, don Juan Carlos Ángel Bernal, representado por la procuradora de los tribunales doña Isabel Núñez Zamorano y bajo la dirección del letrado don Carlos Francisco García Gil, interpuso recurso de amparo contra la resolución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13 de enero de 2020, el Juzgado de Primera Instancia núm. 5 de Cartagena dictó auto declarando la nulidad de la cláusula de vencimiento anticipado que constaba en la escritura pública de préstamo con garantía hipotecaria, que había servido de base para la incoación del procedimiento de ejecución hipotecaria que, con núm. 199-2016, venía tramitándose ante ese órgano jurisdiccional a instancia de la entidad bancaria Cajamar contra el ahora demandante de amparo. En este sentido, razona el juzgado que “la cláusula de vencimiento anticipado pactada es nula de pleno derecho [pues] según la misma el acreedor tendría derecho a exigir el vencimiento anticipado de la obligación, y con ella el cumplimiento íntegro de la obligación, sin el beneficio del plazo, cuando el deudor dejare de atender total o parcialmente su obligación de pago, incluso con el impago de una sola cuota. Las cláusulas así redactadas han sido declaradas nulas por abusivas por el Tribunal de Justicia de la Unión Europea en su sentencia del caso Aziz, de 14 de marzo de 2013, y por el Tribunal Supremo en su sentencia de 23 de diciembre de 2015. Como dice el Tribunal Supremo la cláusula predispuesta por el banco demandado no supera los estándares exigibles, pues no modula la gravedad del incumplimiento en función de la duración y cuantía del préstamo, no permite al consumidor evitar su aplicación mediante una conducta diligente de reparación y posibilita la resolución del préstamo por el incumplimiento de un solo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suma que “[e]l contrato de préstamo hipotecario no puede subsistir si se suprime la cláusula de vencimiento anticipado, así lo considera la STJUE de 26 de marzo de 2019 por el deterioro de la posición procesal del consumidor, concretamente afirma que expone al consumidor a situaciones especialmente indeseables, así consta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que, “[c]onforme ha declarado nuestra Audiencia [la Audiencia Provincial de Murcia], en aquellos procedimientos de ejecución iniciados antes de la entrada de en vigor de la Ley 1/2013 procede el inmediato sobreseimiento de las mismas. Para las que se incoaron con posterioridad a la entrada en vigor de Ley 1/2013, procede valorar el alcance del incumplimiento del ejecutado al amparo del artículo 24 de la Ley reguladora de los contratos de crédito inmobiliario —LCCI—. La razón de esta integración está en el fallo de la sentencia del TJUE de 26 de marzo de 2019 [según la cual] los artículos 6 y 7 de la Directiva 93/13/CEE del Consejo, de 5 de abril de 1993 […] no se oponen a que el juez nacional ponga remedio a la unidad de tal cláusula abusiva substituyéndola por la nueva redacción de la disposición legal que inspiró dicha cláusula, aplicable en caso de convenio entre las partes del contrato, siempre que el contrato de préstamo hipotecario en cuestión no pueda subsistir en caso de supresión de la citada cláusula abusiva y la duración del contrato en su conjunto exponga al consumidor a consecuencias especialmente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se afirma en dicho auto, “[d]eberá valorarse si el profesional y predisponente, al dar por vencido el contrato, actuó de forma correcta o lo hizo en grave perjuicio del consumidor sin causa suficiente. Para ello habrá de tenerse en cuenta si el incumplimiento del consumidor era suficientemente grave, y si se trató por el empresario de poner remedio al incumplimiento antes de instar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continúa dicho razonamiento, “[r]esulta conveniente exponer la regulación del vencimiento anticipado actual [en el art. 24.1 LCCI] y que en principio no resulta directamente aplicable a este litigio, por haberse planteado la demanda de ejecución con anterioridad a la existencia de la norma y, porque así lo dispone su disposición transitoria primera punto 4 de la Ley de crédito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sentado lo precedente, el auto de instancia concluye que “[e]n este caso no ha existido, al tiempo de la demanda de ejecución, concretamente debe estarse a la liquidación del saldo, un incumplimiento de la entidad a la que se refiere el artículo 24 antes transpuesto [del que se sirve como criterio orientativo]. Los impagos son inferiores a dichos límites temporales o porcentuales. Por lo que procede declarar la nulidad absoluta de la cláusula de vencimiento anticipado pactada, y con ello el archivo y sobreseimiento del presente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añade, “debe apuntarse que la nueva Ley sobre crédito inmobiliario, también exige que, con carácter previo a exigir el cumplimiento íntegro de la deuda pendiente, se haya requerido de pago al prestatario concediéndole un plazo de al menos un mes para su cumplimiento y advirtiéndole de que, de no ser atendido, reclamará el reembolso total adeudado del préstamo coma el artículo 24.1 c) Ley de crédito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dicho auto, la entidad ejecutante interpuso recurso de apelación, que fue resuelto por auto, de fecha 8 de junio de 2021, de la Sección Quinta de la Audiencia Provincial de Murcia, revocando el auto de primera instancia y acordando la continuación de la ejecución hipotecaria. La Sala, tras rememorar los precedentes jurisprudenciales aplicables al caso, en especial, la STJUE de 26 de marzo de 2019 y la sentencia del Pleno de la Sala Primera del Tribunal Supremo núm. 463/2019, de 11 de septiembre, entiende justificado el ejercicio de la facultad de vencimiento anticipado del contrato de préstamo por incumplimiento grave del deudor, atendiendo a las pautas y orientaciones jurisprudenciales expuestas en la sentencia del Tribunal Supremo citada,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procesos en que, con anterioridad a la entrada en vigor de la Ley 1/2013, se dio por vencido el préstamo por aplicación de una cláusula contractual reputada nula, deberán ser sobreseídos sin más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procesos en que, con posterioridad a la entrada en vigor de la Ley 1/2013, se dio por vencido el préstamo por aplicación de una cláusula contractual reputada nula, y el incumplimiento del deudor no reúna los requisitos de gravedad y proporcionalidad antes expuestos, deberían ser igualmente sobreseídos.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procesos referidos en el apartado anterior, en que el incumplimiento del deudor revista la gravedad prevista en la LCCI, podrán continuar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se considera subsumible en el apartado c), debiendo, por consiguiente, seguirse la tramitación del procedimiento de ejecución, toda vez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[p]roceso en que, con posterioridad a la entrada en vigor de la Ley 1/2013 (15 de mayo de 2013), se dio por vencido el préstamo con garantía hipotecaria (el acta de fijación de saldo es de 23 de marzo de 2016) por aplicación de la referida cláusula contractual (novena) y en base al impago de seis plazos mensuales […], ascendiendo la cuantía de las cuotas adeudadas (capital e intereses remuneratorios), a la cantidad de 2140,86 €;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Tales cuotas vencidas y no satisfechas son las correspondientes al periodo comprendido entre octubre de 2015 y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mora se produce, pues, en la primera mitad (casi al principio) de la duración del préstamo y la cuantía de las cuotas vencidas y no satisfechas, no llega a 12 y excede del 3 por 100 de la cuantía del capital concedido (2140,86 € equivalen a más del 4,5 por 100 de 46 000 €), que se prevén en el citado art. 24 LCCI para que el prestatario pierda el derecho al plazo y se produzca el vencimiento anticipado en el supuesto que aquí concurre de la mora producida dentro de la primera mitad de duración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entiende que, valorando ese conjunto de datos, el vencimiento anticipado reúne los requisitos de gravedad y proporcionalidad exigidos, advirtiendo, por lo demás, que tampoco comparte el auto apelado en cuanto aplica lo previsto en el art. 24.1 c) LCCI, pues según su disposición transitoria primera, apartado 4, “no será de aplicación este artículo a los contratos cuyo vencimiento anticipado se hubiera producido con anterioridad a la entrada en vigor de esta Ley, se hubiese instado o no un procedimiento de ejecución hipotecaria para hacerlo efectivo, y estuviera este suspendido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planteó incidente excepcional de nulidad de actuaciones, por vulneración del derecho fundamental a la tutela judicial efectiva (arts. 24.1 CE), en relación con los artículos 9.3, 10.1 y 96.1 CE, así como los arts. 6 y 8 del Convenio europeo de derechos humanos (CEDH), 14 y 17 del Pacto internacional de derechos civiles y políticos (PIDCP) y 47 de la Carta de los derechos fundamentales de la Unión Europea (CDFUE), invocando el principio de primacía del Derecho de la Unión, con cita de los pronunciamientos contenidos en la sentencia de la Gran Sala del Tribunal de Justicia de la Unión Europea, de 26 de marzo de 2019, así como en la de 26 de enero de 2017, Banco Primus, S.A., c. Jesús Gutiérrez García (asunto C-421/14). Considera el demandante que el incumplimiento del deudor por el impago de seis cuotas mensuales, por importe de 2140,86 €, no puede ser considerado grave en los términos previstos en la LCCI, pues, según se objeta, “[n]os encontramos ante un préstamo de refinanciación, y en ningún caso puede tildarse tal cuantía como un incumplimiento grave de sus obligaciones deudoras, aún a pesar del porcentaje, más cuando ha quedado manifiestamente clara la mala fe con que ha actuado la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fecha 3 de junio de 2019, se inadmite el incidente excepcional de nulidad de actuaciones con la siguiente motivación: “Dada cuenta; el anterior escrito presentado por la procuradora Doña Isabel Núñez Zamorano en nombre y representación de Juan Carlos Ángel Bernal, únase al presente recurso; y, visto su contenido no ha lugar a la admisión del incidente excepcional de nulidad de actuaciones que se promueve por no fundamentar jurídicamente su pretensión ni alegar motivo bastante para ello al amparo de los arts. 238 y ss de la LOPJ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atribuye a la providencia impugnada la vulneración del derecho a la tutela judicial efectiva (art. 24.1 CE), en su vertiente como derecho a una resolución motivada y fundada en derecho, en relación con el art. 47 CDFUE, interesando su nulidad y la retroacción de las actuaciones al momento anterior al dictado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otrosí digo del escrito de interposición del recurso amparo se solicitó la suspensión del procedimiento de ejecución hipotecaria núm. 199-2016, seguido ante el Juzgado de Primera Instancia núm. 5 de Cartagena, mientras se resuelve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2022, la Sección Cuarta de este tribunal acordó admitir a trámite el recurso, apreciando que reviste especial trascendencia constitucional [art. 50.1 de la Ley Orgánica del Tribunal Constitucional (LOTC)] pues el asunto suscitado trasciende el caso concreto porque plantea una cuestión jurídica de relevante y general repercusión social o económica [STC 155/2009, de 25 de junio, FJ 2 g)]. Acordó igualmente dirigir atenta comunicación a la Sección Quinta de la Audiencia Provincial de Murcia a fin de que remitiera testimonio íntegro de las actuaciones correspondientes al recurso de apelación núm. 149-2020; y al Juzgado de Primera Instancia núm. 5 de Cartagena para que remitiera testimonio de las actuaciones correspondientes al procedimiento de ejecución hipotecaria núm. 199-2016; debiendo previamente emplazarse, para que en el plazo de diez días pudieran comparecer en el recurso de amparo,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esa misma fecha la Sección Cuarta acordó la formación de pieza separada para la tramitación del incidente sobre suspensión de las actuaciones del procedimiento de ejecución, concediendo un plazo común de tres días a la parte recurrente y al Ministerio Fiscal para que aleguen lo que estimaran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octubre, don Juan Carlos Ángel Bernal presentó alegaciones a la solicitud de suspensión del procedimiento de ejecución, considerando procedente dicha solicitud, “toda vez que, de no ser acordada por el Tribunal, se procederá al señalamiento del lanzamiento, sin tiempo material para ejercitar los derechos e intereses que asisten a mi representado, toda vez que el procedimiento se considera vivo, mientras que el deudor permanezca habitando la vivienda. Ello provocaría una situación difícilmente reversible, que produciría la pérdida de su finalidad, al presente recurso de amparo. A mayor abundamiento, en el momento procesal que nos encontramos, la suspensión no entrañaría perturbación grave a un interés constitucionalmente protegido o a los derechos fundamentales o libertades públicas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el 10 de noviembre de 2022 alegaciones a la suspensión del procedimiento de ejecución, manifestando su disconformidad, estimando procedente, por el contrario, que se acordara la medida cautelar de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noviembre de 2022 se personó en las actuaciones la entidad crediticia Cajamar Caja Rural, Sociedad Cooperativa de Crédito, representada por el procurador de los tribunales don Ignacio María Batllo Ripoll.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noviembre de 2022, la Sala Segunda del Tribunal Constitucional dictó el auto 170/2022, desestimando la medida cautelar de suspensión del procedimiento y acordando la anotación preventiva de la demanda en el registro de la propiedad, considerando que “no es posible afirmar que la eventual continuación del curso del procedimiento judicial provoque por sí solo un perjuicio determinante de la pérdida de la finalidad del presente recurso de amparo, que es el elemento a tener en cuenta en este trámite. 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una hipotética adquisición del bien por tercero lo hiciera irreivindicable; situación a la que se hace referencia genérica en el escrito de alegaciones presentado en esta pieza”.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diciembre de 2022 se acordó por la Sección Cuarta tener por personado en el procedimiento al procurador don Ignacio María Batllo Ripoll, en nombre y representación de Cajamar Caja Rural, Sociedad Cooperativa de Crédito; así como dar vista de las actuaciones a las partes personadas y al Ministerio Fiscal por plazo común de veinte días, dentro de los cuales podrán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19 de enero de 2023 se puso en conocimiento de las partes personadas y del Ministerio Fiscal el acuerdo del Pleno del Tribunal Constitucional de 17 de enero de 2023, en virtud del cual el presente recurso de amparo fue turnado a la Sección Tercera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entidad Cajamar Caja Rural, Sociedad Cooperativa de Crédito, se opuso a la estimación del recurso de amparo por escrito registrado el 9 de enero de 2023, alegando como óbice procesal la falta de especial trascendencia constitucional del recurso; así como, respecto al fondo, considerando debidamente motivada la inadmisión del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 escrito de alegaciones ante este tribunal el día 8 de febrero de 2023,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considera de interés al caso y concretar los aspectos más relevantes de la pretensión del demandante, el fiscal señala que el objeto del presente recurso consiste en dilucidar si la providencia de inadmisión del incidente excepcional de nulidad de actuaciones se encontraba debidamente motivada a la luz de la doctrina constitucional sobre el control de las resoluciones judiciales en esta materia [STC 151/2022, de 30 de noviembre,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Ministerio Fiscal la parquedad de la motivación contenida en la providencia impugnada, que acuerda la inadmisión del incidente de nulidad “por no fundamentar jurídicamente su pretensión ni alegar motivo bastante para ello al amparo de los arts. 238 y ss. de la LOPJ”, considerando que “[l]a alusión genérica al incumplimiento de los requisitos del art. 238 y ss. LOPJ […] no permite saber sobre qué presupuestos legales se ha producido la inadmisión a limine del incidente de nulidad de actuaciones, ni da respuesta al mismo”. De donde concluye que “[l]a providencia que inadmite el incidente de nulidad de actuaciones planteado por el recurrente es una resolución judicial inmotivada, que no expresa la razón formal que justifica la inadmisión, no la pone en relación con una causa legal aducida —la vulneración del derecho a la tutela judicial efectiva consagrada en el art. 24.1 CE— y con la regulación legal del incidente en la LOPJ”, lo que supone una infracción del derecho a la tutela judicial efectiva sin indefensión (art. 24.1 CE), siendo procedente conceder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octubre de 2023, se señaló para votación y fallo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la providencia dictada por la Sección Quinta de la Audiencia Provincial de Murcia con fecha 28 de octubre de 2021, por la que se inadmite el incidente excepcional de nulidad de actuaciones planteado por el ahora recurrente. El recurrente atribuye a dicha resolución la vulneración de su derecho a la tutela judicial efectiva (art. 24.1 CE), en su vertiente como derecho a una resolución motivada y fundada en derecho, al no justificarse siquiera de modo somero el sentido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mercantil Cajamar Caja Rural, Sociedad Cooperativa de Crédito, manifiesta su oposición a la estimación del recurso aduciendo, desde la perspectiva de los óbices, la falta de especial trascendencia constitucional del recurso, al mismo tiempo que considera la resolución recurrida debidamente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revela favorable a la estimación del recurso, participando de la tesis principal del recurrente, esto es, la falta de motivación de la providencia impugnada, infringiendo 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 los óbices formulados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mercantil Cajamar Caja Rural, Sociedad Cooperativa de Crédito, la falta de especial trascendencia constitucional del recurso, si bien se identifica tal con la negativa manifiesta del deber de acatamiento de la doctrina de este tribunal, prevista en la letra f) del fundamento jurídico 2 de la STC 155/2009, de 25 de junio, cuando la justificación, en verdad formulada, comporta, más bien, el que el recurso trasciende del caso concreto porque plantea una cuestión jurídica de general y relevante repercusión social y económica, inscribible en la hipótesis prevista en la letra g) del fundamento jurídico 2 de la STC 155/2009, al suponer la vulneración del derecho fundamental a la tutela judicial efectiva por falta de motivación un incumplimiento del principio de primacía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recientemente rememorábamos en la STC 122/2022, de 10 de octubre,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 (entre otras muchas, SSTC 155/2009, de 25 de junio, FJ 2; 126/2013, de 3 de junio, FJ 2; 9/2015, de 2 de febrero, FJ 3; 143/2016, de 19 de septiembre, FJ 2; 166/2016, de 6 de octubre, FJ 2, y 136/2017, de 27 de noviembre,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entendió que procedía la admisión a trámite de la demanda de amparo estimando el motivo aducido por el recurrente al apreciar que el asunto suscitado trascendía el caso concreto porque planteaba una cuestión jurídica de relevante y general repercusión social o económica [STC 155/2009, FJ 2 g)], vinculada al principio de primacía del Derecho de la Unión. No advertimos que concurran razones para revisar ahora esa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este requisito para la admisión del recurso de amparo ha de entenderse cumplido, lo que determina el rechazo del óbice que alega la mercantil Cajamar Caja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manifestado reiteradamente acerca de la relevancia constitucional del incidente excepcional de nulidad de actuaciones tras la reforma de la Ley Orgánica del Tribunal Constitucional operada en virtud de la Ley Orgánica 6/2007, de 24 de mayo, como mecanismo de salvaguarda de los derechos y libertades fundamentales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reforma, como rememorábamos en la STC 102/2020, de 21 de septiembre, “otorga un especial protagonismo a los tribunales ordinarios, acentuando su función como primeros garantes de los derechos fundamentales en el ordenamiento jurídico […] con el fin de lograr que la tutela y defensa de esos derechos por parte del Tribunal Constitucional sea realmente subsidiaria […]. De esta forma,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sin que pueda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(por todas, SSTC 153/2012, de 16 de julio, FJ 3, y 65/2016, de 11 de abril, FJ 5). Ello nos ha llevado a afirmar que, para evitar que el recurrente quede sin ningún tipo de protección en aquellos casos en los que las vulneraciones en las que supuestamente incurriera la resolución impugnada a través del incidente de nulidad de actuaciones carecieran de trascendencia constitucional, el órgano judicial debe realizar una interpretación no restrictiva de los motivos de inadmisión, tramitar el incidente y motivar, en cualquier caso, suficientemente su decisión, pues las decisiones de inadmisión del incidente de nulidad de actuaciones cuando es procedente su planteamiento implican la preterición del mecanismo de tutela ante la jurisdicción ordinaria (STC 9/2014, de 27 de enero, FJ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también recordábamos en dicha sentencia que “a pesar de que el incidente de nulidad de actuaciones no constituye un recurso en sentido estricto, es un cauce procesal que, al tener por objeto la revisión de resoluciones o actuaciones procesales, debe ser enjuiciado desde el canon propio del derecho de acceso al recurso legalmente establecido (SSTC 57/2006, de 27 de febrero, y 157/2009, de 25 de junio, FJ 2). Por ello el Tribunal se ha de limitar a comprobar si la resolución de inadmisión está motivada y si ha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 y 9/2014, de 27 de enero, FJ 5)”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planteamiento del incidente excepcional de nulidad de actuaciones el demandante de amparo expone al órgano judicial los siguientes extremos: (i) la vulneración del derecho a la tutela judicial efectiva que se entiende producida por el auto de apelación, aduciendo la infracción del art. 24.1 CE, en relación con los arts. 9.3, 10.1 y 96.1 CE, y en conexión inmediata con los arts. 6 y 8 CEDH y los arts. 14 y 17 PIDCP y art. 47 CDFUE; (ii) una profusa relación de jurisprudencia del Tribunal de Justicia de la Unión Europea, del Tribunal Supremo y de este tribunal en materia de nulidad de cláusulas abusivas y aplicación de la normativa europea y nacional protectora de los consumidores; (iii) una reflexión sobre el principio de primacía de Derecho de la Unión, partiendo de la doctrina emanada del Tribunal de Justicia de la Unión Europea en la sentencia de 9 de marzo de 1978, el conocido asunto Simmenthal; y (iv) la aplicación al caso de dicha doctrina y la vulneración cometida al decidir la Sección Quinta de la Audiencia Provincial de Murcia continuar con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 despliegue argumental, en la providencia impugnada el tribunal se limita a inadmitir el incidente de nulidad, literal y escuetamente, “por no fundamentar jurídicamente su pretensión ni alegar motivo bastante para ello al amparo de los arts. 238 y ss. de la LOPJ”. No cabe sino considerar semejante decisión inmotivada, pues no permite conocer los presupuestos legales a que obedece, con el reprochable efecto de dejar imprejuzgada la lesión constitucional denunciada por el ahora recurrente. En tales circunstancias, el incidente excepcional de nulidad de actuaciones no cumple la función de tutela y defensa de los derechos fundamentales que tiene asignada de acuerdo con la doctrina expuesta, toda vez que, como antes expusimos, “las decisiones de inadmisión del incidente de nulidad de actuaciones cuando es procedente su planteamiento implican la preterición del mecanismo de tutela [de los derechos fundamentales] ante la jurisdicción ordinaria” (STC 9/2014, de 27 de enero, FJ 3). El tribunal incurre, por consiguiente, en una vulneración del derecho a la tutela judicial efectiva sin indefensión (art. 24.1 CE) en los términos revelados.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determina la estimación del presente recurso de amparo, por haberse vulnerado el derecho fundamental de la recurrente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Juan Carlos Ángel Bernal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 en su dimensión de derecho a una resolución motivada y fundada en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efecto, anular la providencia de 28 de octubre de 2021, dictada por la Sección Quinta de la Audiencia Provincial de Murcia, y todo lo actuado en dicho procedimiento desde esa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que se pronunciara la providencia de 28 de octubre de 2021, a fin de que se resuelva lo procedente de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