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agosto de 198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erónimo Arozamena Sierra, don Ángel Escudero del Corral y don Antonio Truyol S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09-198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09/198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or lo expuesto, la Sección acuerda denegar la suspensión de que se ha hecho mérit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n 20 de julio pasado se presentó por la «Compañía Internacional de Seguros, S. A.», demanda de amparo frente a providencia dictada por el Juzgado de Instrucción núm. 1, de Hospitalet, de 5 de abril de 1983, que requirió a la demandante al abono de una completa indemnización en lugar de sólo las cantidades cubiertas por el Seguro Obligatorio de Automóviles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En la referida demanda de amparo se pidió la suspensión de la ejecución de la resolución impugnada, formándose la correspondiente pieza separada en que fueron oídos la demandante y el Ministerio Fiscal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La representación demandante ratificó lo alegado en la demanda, en que exponía que el amparo perdería su finalidad con la ejecución que pretendía se suspendiese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El Ministerio Fiscal expone que de las alegaciones del recurrente no se deriva que la ejecución pueda ocasionar perjuicio excluyente de la eficacia del amparo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Unico.  En la demanda no se precisa cuáles son los perjuicios que para el derecho fundamental cuya protección se pide, pudieran derivarse de la ejecución de la resolución recurrida. Y esta omisión no se subsana en el escrito presentado en el trámite del art. 56.2 de la LOTC, por lo que falta el presupuesto para adoptar una decisión de suspensión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Por lo expuesto, la Sección acuerda denegar la suspensión de que se ha hecho mérit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doce de agosto de mil novecientos ochenta y tres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